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A6A53" w14:textId="7B6F3EDD" w:rsidR="00096ECB" w:rsidRDefault="00945845" w:rsidP="00945845">
      <w:pPr>
        <w:pStyle w:val="Header"/>
        <w:tabs>
          <w:tab w:val="clear" w:pos="4680"/>
          <w:tab w:val="clear" w:pos="9360"/>
          <w:tab w:val="center" w:pos="4153"/>
          <w:tab w:val="right" w:pos="8306"/>
        </w:tabs>
        <w:bidi/>
        <w:jc w:val="center"/>
        <w:rPr>
          <w:rFonts w:asciiTheme="minorBidi" w:eastAsia="Times New Roman" w:hAnsiTheme="minorBidi" w:cs="Times New Roman"/>
          <w:b/>
          <w:bCs/>
          <w:sz w:val="24"/>
          <w:szCs w:val="24"/>
          <w:rtl/>
        </w:rPr>
      </w:pPr>
      <w:r w:rsidRPr="00945845">
        <w:rPr>
          <w:rFonts w:asciiTheme="minorBidi" w:eastAsia="Times New Roman" w:hAnsiTheme="minorBidi" w:cs="Times New Roman"/>
          <w:b/>
          <w:bCs/>
          <w:sz w:val="24"/>
          <w:szCs w:val="24"/>
          <w:rtl/>
        </w:rPr>
        <w:t>نشرة الإنتاج العضوي</w:t>
      </w:r>
    </w:p>
    <w:p w14:paraId="4A121AD1" w14:textId="0ED2C6E9" w:rsidR="00945845" w:rsidRDefault="00945845" w:rsidP="00945845">
      <w:pPr>
        <w:pStyle w:val="Heading1"/>
        <w:numPr>
          <w:ilvl w:val="0"/>
          <w:numId w:val="3"/>
        </w:numPr>
        <w:bidi/>
        <w:rPr>
          <w:rtl/>
        </w:rPr>
      </w:pPr>
      <w:r>
        <w:rPr>
          <w:rFonts w:hint="cs"/>
          <w:rtl/>
        </w:rPr>
        <w:t>ملخص عن القواعد العامة في الزراعة العضوية</w:t>
      </w:r>
    </w:p>
    <w:p w14:paraId="2DF489B5" w14:textId="77777777" w:rsidR="003B0F12" w:rsidRDefault="003B0F12" w:rsidP="003B0F12">
      <w:pPr>
        <w:bidi/>
      </w:pPr>
      <w:r>
        <w:rPr>
          <w:rFonts w:cs="Arial"/>
          <w:rtl/>
        </w:rPr>
        <w:t xml:space="preserve">يعني الإنتاج العضوي احترام قواعد الزراعة العضوية. تم تصميم هذه القواعد لتعزيز حماية البيئة والحفاظ على التنوع البيولوجي في أوروبا وبناء ثقة المستهلك في المنتجات العضوية. تحكم هذه اللوائح جميع مجالات الإنتاج العضوي وتستند إلى عدد من المبادئ </w:t>
      </w:r>
      <w:proofErr w:type="gramStart"/>
      <w:r>
        <w:rPr>
          <w:rFonts w:cs="Arial"/>
          <w:rtl/>
        </w:rPr>
        <w:t>الأساسية ،</w:t>
      </w:r>
      <w:proofErr w:type="gramEnd"/>
      <w:r>
        <w:rPr>
          <w:rFonts w:cs="Arial"/>
          <w:rtl/>
        </w:rPr>
        <w:t xml:space="preserve"> مثل:</w:t>
      </w:r>
    </w:p>
    <w:p w14:paraId="1953A0B3" w14:textId="77777777" w:rsidR="003B0F12" w:rsidRDefault="003B0F12" w:rsidP="003B0F12">
      <w:pPr>
        <w:bidi/>
      </w:pPr>
      <w:r>
        <w:rPr>
          <w:rFonts w:cs="Arial"/>
          <w:rtl/>
        </w:rPr>
        <w:t>• حظر استخدام الكائنات المعدلة وراثيًا.</w:t>
      </w:r>
    </w:p>
    <w:p w14:paraId="3848B27E" w14:textId="77777777" w:rsidR="003B0F12" w:rsidRDefault="003B0F12" w:rsidP="003B0F12">
      <w:pPr>
        <w:bidi/>
      </w:pPr>
      <w:r>
        <w:rPr>
          <w:rFonts w:cs="Arial"/>
          <w:rtl/>
        </w:rPr>
        <w:t>• حظر استخدام الإشعاعات المؤينة.</w:t>
      </w:r>
    </w:p>
    <w:p w14:paraId="57F45FD8" w14:textId="77777777" w:rsidR="003B0F12" w:rsidRDefault="003B0F12" w:rsidP="003B0F12">
      <w:pPr>
        <w:bidi/>
      </w:pPr>
      <w:r>
        <w:rPr>
          <w:rFonts w:cs="Arial"/>
          <w:rtl/>
        </w:rPr>
        <w:t>• الحد من استخدام الأسمدة الصناعية ومبيدات الأعشاب والمبيدات.</w:t>
      </w:r>
    </w:p>
    <w:p w14:paraId="550DB3AA" w14:textId="77777777" w:rsidR="003B0F12" w:rsidRDefault="003B0F12" w:rsidP="003B0F12">
      <w:pPr>
        <w:bidi/>
      </w:pPr>
      <w:r>
        <w:rPr>
          <w:rFonts w:cs="Arial"/>
          <w:rtl/>
        </w:rPr>
        <w:t>• تحريم استخدام الهرمونات وتقييد استخدام المضادات الحيوية وفقط عند الضرورة لصحة الحيوان.</w:t>
      </w:r>
    </w:p>
    <w:p w14:paraId="09B26491" w14:textId="77777777" w:rsidR="003B0F12" w:rsidRDefault="003B0F12" w:rsidP="003B0F12">
      <w:pPr>
        <w:bidi/>
      </w:pPr>
      <w:r>
        <w:rPr>
          <w:rFonts w:cs="Arial"/>
          <w:rtl/>
        </w:rPr>
        <w:t xml:space="preserve">وهذا يعني أن المنتجين العضويين يحتاجون إلى اعتماد مناهج مختلفة للحفاظ على خصوبة التربة وصحة الحيوان </w:t>
      </w:r>
      <w:proofErr w:type="gramStart"/>
      <w:r>
        <w:rPr>
          <w:rFonts w:cs="Arial"/>
          <w:rtl/>
        </w:rPr>
        <w:t>والنبات ،</w:t>
      </w:r>
      <w:proofErr w:type="gramEnd"/>
      <w:r>
        <w:rPr>
          <w:rFonts w:cs="Arial"/>
          <w:rtl/>
        </w:rPr>
        <w:t xml:space="preserve"> بما في ذلك:</w:t>
      </w:r>
    </w:p>
    <w:p w14:paraId="1BC8C00E" w14:textId="77777777" w:rsidR="003B0F12" w:rsidRDefault="003B0F12" w:rsidP="003B0F12">
      <w:pPr>
        <w:bidi/>
      </w:pPr>
      <w:r>
        <w:rPr>
          <w:rFonts w:cs="Arial"/>
          <w:rtl/>
        </w:rPr>
        <w:t>•</w:t>
      </w:r>
      <w:r>
        <w:rPr>
          <w:rFonts w:cs="Arial"/>
          <w:rtl/>
        </w:rPr>
        <w:tab/>
        <w:t>تناوب المحاصيل؛</w:t>
      </w:r>
    </w:p>
    <w:p w14:paraId="7F7CA775" w14:textId="77777777" w:rsidR="003B0F12" w:rsidRDefault="003B0F12" w:rsidP="003B0F12">
      <w:pPr>
        <w:bidi/>
      </w:pPr>
      <w:r>
        <w:rPr>
          <w:rFonts w:cs="Arial"/>
          <w:rtl/>
        </w:rPr>
        <w:t>• زراعة النباتات المثبتة للنيتروجين ومحاصيل السماد الأخضر الأخرى لاستعادة خصوبة التربة</w:t>
      </w:r>
    </w:p>
    <w:p w14:paraId="6C31338E" w14:textId="77777777" w:rsidR="003B0F12" w:rsidRDefault="003B0F12" w:rsidP="003B0F12">
      <w:pPr>
        <w:bidi/>
      </w:pPr>
      <w:r>
        <w:rPr>
          <w:rFonts w:cs="Arial"/>
          <w:rtl/>
        </w:rPr>
        <w:t>• حظر استخدام الأسمدة النيتروجينية المعدنية.</w:t>
      </w:r>
    </w:p>
    <w:p w14:paraId="3693B8C3" w14:textId="77777777" w:rsidR="003B0F12" w:rsidRDefault="003B0F12" w:rsidP="003B0F12">
      <w:pPr>
        <w:bidi/>
      </w:pPr>
      <w:r>
        <w:rPr>
          <w:rFonts w:cs="Arial"/>
          <w:rtl/>
        </w:rPr>
        <w:t xml:space="preserve">• للحد من تأثير الحشائش </w:t>
      </w:r>
      <w:proofErr w:type="gramStart"/>
      <w:r>
        <w:rPr>
          <w:rFonts w:cs="Arial"/>
          <w:rtl/>
        </w:rPr>
        <w:t>والآفات ،</w:t>
      </w:r>
      <w:proofErr w:type="gramEnd"/>
      <w:r>
        <w:rPr>
          <w:rFonts w:cs="Arial"/>
          <w:rtl/>
        </w:rPr>
        <w:t xml:space="preserve"> يختار المزارعون </w:t>
      </w:r>
      <w:proofErr w:type="spellStart"/>
      <w:r>
        <w:rPr>
          <w:rFonts w:cs="Arial"/>
          <w:rtl/>
        </w:rPr>
        <w:t>العضويون</w:t>
      </w:r>
      <w:proofErr w:type="spellEnd"/>
      <w:r>
        <w:rPr>
          <w:rFonts w:cs="Arial"/>
          <w:rtl/>
        </w:rPr>
        <w:t xml:space="preserve"> أصنافًا وسلالات مقاومة وتقنيات تشجع على المكافحة الطبيعية للآفات ؛</w:t>
      </w:r>
    </w:p>
    <w:p w14:paraId="5C23D326" w14:textId="77777777" w:rsidR="003B0F12" w:rsidRDefault="003B0F12" w:rsidP="003B0F12">
      <w:pPr>
        <w:bidi/>
      </w:pPr>
      <w:r>
        <w:rPr>
          <w:rFonts w:cs="Arial"/>
          <w:rtl/>
        </w:rPr>
        <w:t>• تشجيع الدفاع المناعي الطبيعي للحيوانات.</w:t>
      </w:r>
    </w:p>
    <w:p w14:paraId="0B844F70" w14:textId="65684F7D" w:rsidR="003B0F12" w:rsidRPr="003B0F12" w:rsidRDefault="003B0F12" w:rsidP="003B0F12">
      <w:pPr>
        <w:bidi/>
      </w:pPr>
      <w:r>
        <w:rPr>
          <w:rFonts w:cs="Arial"/>
          <w:rtl/>
        </w:rPr>
        <w:t xml:space="preserve">• من أجل الحفاظ على صحة </w:t>
      </w:r>
      <w:proofErr w:type="gramStart"/>
      <w:r>
        <w:rPr>
          <w:rFonts w:cs="Arial"/>
          <w:rtl/>
        </w:rPr>
        <w:t>الحيوان ،</w:t>
      </w:r>
      <w:proofErr w:type="gramEnd"/>
      <w:r>
        <w:rPr>
          <w:rFonts w:cs="Arial"/>
          <w:rtl/>
        </w:rPr>
        <w:t xml:space="preserve"> يحتاج المنتجون </w:t>
      </w:r>
      <w:proofErr w:type="spellStart"/>
      <w:r>
        <w:rPr>
          <w:rFonts w:cs="Arial"/>
          <w:rtl/>
        </w:rPr>
        <w:t>العضويون</w:t>
      </w:r>
      <w:proofErr w:type="spellEnd"/>
      <w:r>
        <w:rPr>
          <w:rFonts w:cs="Arial"/>
          <w:rtl/>
        </w:rPr>
        <w:t xml:space="preserve"> إلى منع الإفراط في التخزين.</w:t>
      </w:r>
    </w:p>
    <w:p w14:paraId="623DEBB3" w14:textId="38E7C64D" w:rsidR="00945845" w:rsidRPr="00945845" w:rsidRDefault="00945845" w:rsidP="00945845">
      <w:pPr>
        <w:pStyle w:val="Heading1"/>
        <w:numPr>
          <w:ilvl w:val="0"/>
          <w:numId w:val="3"/>
        </w:numPr>
        <w:bidi/>
      </w:pPr>
      <w:r w:rsidRPr="00945845">
        <w:rPr>
          <w:rFonts w:hint="cs"/>
          <w:rtl/>
        </w:rPr>
        <w:lastRenderedPageBreak/>
        <w:t>ملخص عن القواعد العامة في الإنتاج العضوي</w:t>
      </w:r>
    </w:p>
    <w:p w14:paraId="4AF87686" w14:textId="465D215E" w:rsidR="00945845" w:rsidRPr="00945845" w:rsidRDefault="00945845" w:rsidP="00945845">
      <w:pPr>
        <w:pStyle w:val="Heading1"/>
        <w:numPr>
          <w:ilvl w:val="0"/>
          <w:numId w:val="3"/>
        </w:numPr>
        <w:bidi/>
      </w:pPr>
      <w:r w:rsidRPr="00945845">
        <w:rPr>
          <w:rFonts w:hint="cs"/>
          <w:rtl/>
        </w:rPr>
        <w:t>تبادل المعلومات</w:t>
      </w:r>
    </w:p>
    <w:p w14:paraId="1538FD61" w14:textId="6600C47D" w:rsidR="00945845" w:rsidRPr="00945845" w:rsidRDefault="00945845" w:rsidP="00945845">
      <w:pPr>
        <w:pStyle w:val="Heading1"/>
        <w:numPr>
          <w:ilvl w:val="0"/>
          <w:numId w:val="3"/>
        </w:numPr>
        <w:bidi/>
      </w:pPr>
      <w:r w:rsidRPr="00945845">
        <w:rPr>
          <w:rFonts w:hint="cs"/>
          <w:rtl/>
        </w:rPr>
        <w:t>حقوق المشغل وواجباته</w:t>
      </w:r>
    </w:p>
    <w:p w14:paraId="146446E7" w14:textId="463C2E5C" w:rsidR="00945845" w:rsidRPr="00945845" w:rsidRDefault="00945845" w:rsidP="00945845">
      <w:pPr>
        <w:pStyle w:val="Heading1"/>
        <w:numPr>
          <w:ilvl w:val="0"/>
          <w:numId w:val="3"/>
        </w:numPr>
        <w:bidi/>
      </w:pPr>
      <w:r w:rsidRPr="00945845">
        <w:rPr>
          <w:rFonts w:hint="cs"/>
          <w:rtl/>
        </w:rPr>
        <w:t xml:space="preserve">حقوق </w:t>
      </w:r>
      <w:proofErr w:type="spellStart"/>
      <w:r w:rsidRPr="00945845">
        <w:rPr>
          <w:rFonts w:hint="cs"/>
          <w:rtl/>
        </w:rPr>
        <w:t>كواب</w:t>
      </w:r>
      <w:proofErr w:type="spellEnd"/>
      <w:r w:rsidRPr="00945845">
        <w:rPr>
          <w:rFonts w:hint="cs"/>
          <w:rtl/>
        </w:rPr>
        <w:t xml:space="preserve"> وواجباتها</w:t>
      </w:r>
    </w:p>
    <w:p w14:paraId="09C784BE" w14:textId="5A63D39C" w:rsidR="00945845" w:rsidRPr="00945845" w:rsidRDefault="00945845" w:rsidP="00945845">
      <w:pPr>
        <w:pStyle w:val="Heading1"/>
        <w:numPr>
          <w:ilvl w:val="0"/>
          <w:numId w:val="3"/>
        </w:numPr>
        <w:bidi/>
      </w:pPr>
      <w:r w:rsidRPr="00945845">
        <w:rPr>
          <w:rFonts w:hint="cs"/>
          <w:rtl/>
        </w:rPr>
        <w:t>التسجيل الفردي</w:t>
      </w:r>
    </w:p>
    <w:p w14:paraId="4F6B1725" w14:textId="36991152" w:rsidR="00945845" w:rsidRPr="00945845" w:rsidRDefault="00945845" w:rsidP="00945845">
      <w:pPr>
        <w:pStyle w:val="Heading1"/>
        <w:numPr>
          <w:ilvl w:val="0"/>
          <w:numId w:val="3"/>
        </w:numPr>
        <w:bidi/>
      </w:pPr>
      <w:r w:rsidRPr="00945845">
        <w:rPr>
          <w:rFonts w:hint="cs"/>
          <w:rtl/>
        </w:rPr>
        <w:t>التسجيل الجماعي</w:t>
      </w:r>
    </w:p>
    <w:p w14:paraId="73CA6531" w14:textId="75D66B09" w:rsidR="00945845" w:rsidRPr="00945845" w:rsidRDefault="00945845" w:rsidP="00945845">
      <w:pPr>
        <w:pStyle w:val="Heading1"/>
        <w:numPr>
          <w:ilvl w:val="0"/>
          <w:numId w:val="3"/>
        </w:numPr>
        <w:bidi/>
      </w:pPr>
      <w:r w:rsidRPr="00945845">
        <w:rPr>
          <w:rFonts w:hint="cs"/>
          <w:rtl/>
        </w:rPr>
        <w:t>أنظمة ونماذج مقترحة</w:t>
      </w:r>
    </w:p>
    <w:p w14:paraId="39185735" w14:textId="77777777" w:rsidR="00945845" w:rsidRDefault="00945845" w:rsidP="00945845">
      <w:pPr>
        <w:pStyle w:val="Header"/>
        <w:tabs>
          <w:tab w:val="clear" w:pos="4680"/>
          <w:tab w:val="clear" w:pos="9360"/>
          <w:tab w:val="center" w:pos="4153"/>
          <w:tab w:val="right" w:pos="8306"/>
        </w:tabs>
        <w:bidi/>
        <w:ind w:left="720"/>
        <w:rPr>
          <w:rFonts w:asciiTheme="minorBidi" w:eastAsia="Times New Roman" w:hAnsiTheme="minorBidi" w:cs="Times New Roman"/>
          <w:b/>
          <w:bCs/>
          <w:sz w:val="24"/>
          <w:szCs w:val="24"/>
          <w:rtl/>
        </w:rPr>
      </w:pPr>
    </w:p>
    <w:p w14:paraId="3DD52FDB" w14:textId="0996A67A" w:rsidR="00945845" w:rsidRDefault="00945845">
      <w:pPr>
        <w:rPr>
          <w:rFonts w:asciiTheme="minorBidi" w:eastAsia="Times New Roman" w:hAnsiTheme="minorBidi" w:cs="Times New Roman"/>
          <w:b/>
          <w:bCs/>
          <w:sz w:val="24"/>
          <w:szCs w:val="24"/>
          <w:rtl/>
        </w:rPr>
      </w:pPr>
      <w:r>
        <w:rPr>
          <w:rFonts w:asciiTheme="minorBidi" w:eastAsia="Times New Roman" w:hAnsiTheme="minorBidi" w:cs="Times New Roman"/>
          <w:b/>
          <w:bCs/>
          <w:sz w:val="24"/>
          <w:szCs w:val="24"/>
          <w:rtl/>
        </w:rPr>
        <w:br w:type="page"/>
      </w:r>
    </w:p>
    <w:p w14:paraId="737D52EF" w14:textId="77777777" w:rsidR="00945845" w:rsidRDefault="00945845" w:rsidP="00945845">
      <w:pPr>
        <w:pStyle w:val="Header"/>
        <w:tabs>
          <w:tab w:val="clear" w:pos="4680"/>
          <w:tab w:val="clear" w:pos="9360"/>
          <w:tab w:val="center" w:pos="4153"/>
          <w:tab w:val="right" w:pos="8306"/>
        </w:tabs>
        <w:bidi/>
        <w:ind w:left="720"/>
        <w:rPr>
          <w:rFonts w:asciiTheme="minorBidi" w:eastAsia="Times New Roman" w:hAnsiTheme="minorBidi" w:cs="Times New Roman"/>
          <w:b/>
          <w:bCs/>
          <w:sz w:val="24"/>
          <w:szCs w:val="24"/>
          <w:rtl/>
        </w:rPr>
      </w:pPr>
    </w:p>
    <w:p w14:paraId="183685A9" w14:textId="5AC318AE" w:rsidR="00945845" w:rsidRDefault="00945845" w:rsidP="00945845">
      <w:pPr>
        <w:pStyle w:val="Heading1"/>
        <w:rPr>
          <w:rFonts w:eastAsia="Times New Roman"/>
        </w:rPr>
      </w:pPr>
      <w:r>
        <w:rPr>
          <w:rFonts w:eastAsia="Times New Roman"/>
        </w:rPr>
        <w:t xml:space="preserve">8- </w:t>
      </w:r>
      <w:r w:rsidRPr="00945845">
        <w:rPr>
          <w:rFonts w:eastAsia="Times New Roman"/>
        </w:rPr>
        <w:t>Suggested systems and models</w:t>
      </w:r>
    </w:p>
    <w:p w14:paraId="0AF7ACF9" w14:textId="263822BB" w:rsidR="00945845" w:rsidRPr="00945845" w:rsidRDefault="00945845" w:rsidP="00945845">
      <w:pPr>
        <w:pStyle w:val="Heading1"/>
        <w:rPr>
          <w:rFonts w:eastAsia="Times New Roman"/>
        </w:rPr>
      </w:pPr>
      <w:r>
        <w:rPr>
          <w:rFonts w:eastAsia="Times New Roman"/>
        </w:rPr>
        <w:t xml:space="preserve">7- </w:t>
      </w:r>
      <w:r w:rsidRPr="00945845">
        <w:rPr>
          <w:rFonts w:eastAsia="Times New Roman"/>
        </w:rPr>
        <w:t>Group registration</w:t>
      </w:r>
    </w:p>
    <w:p w14:paraId="4B544E40" w14:textId="0C756665" w:rsidR="00945845" w:rsidRPr="00945845" w:rsidRDefault="00945845" w:rsidP="00945845">
      <w:pPr>
        <w:pStyle w:val="Heading1"/>
        <w:rPr>
          <w:rFonts w:eastAsia="Times New Roman"/>
        </w:rPr>
      </w:pPr>
      <w:r>
        <w:rPr>
          <w:rFonts w:eastAsia="Times New Roman"/>
        </w:rPr>
        <w:t xml:space="preserve">6- </w:t>
      </w:r>
      <w:r w:rsidRPr="00945845">
        <w:rPr>
          <w:rFonts w:eastAsia="Times New Roman"/>
        </w:rPr>
        <w:t>Individual registration</w:t>
      </w:r>
    </w:p>
    <w:p w14:paraId="1C42BAC9" w14:textId="77777777" w:rsidR="00945845" w:rsidRPr="00945845" w:rsidRDefault="00945845" w:rsidP="00945845"/>
    <w:p w14:paraId="211E2373" w14:textId="71BC208B" w:rsidR="00945845" w:rsidRPr="00945845" w:rsidRDefault="00945845" w:rsidP="00945845">
      <w:pPr>
        <w:pStyle w:val="Heading1"/>
        <w:rPr>
          <w:rFonts w:eastAsia="Times New Roman"/>
        </w:rPr>
      </w:pPr>
      <w:r>
        <w:rPr>
          <w:rFonts w:eastAsia="Times New Roman"/>
        </w:rPr>
        <w:t>5- COAP</w:t>
      </w:r>
      <w:r w:rsidRPr="00945845">
        <w:rPr>
          <w:rFonts w:eastAsia="Times New Roman"/>
        </w:rPr>
        <w:t>'s rights and duties</w:t>
      </w:r>
    </w:p>
    <w:p w14:paraId="176A72FA" w14:textId="77777777" w:rsidR="00945845" w:rsidRPr="00945845" w:rsidRDefault="00945845" w:rsidP="00945845"/>
    <w:p w14:paraId="72468BB4" w14:textId="333725E3" w:rsidR="00945845" w:rsidRPr="00945845" w:rsidRDefault="00945845" w:rsidP="00945845">
      <w:pPr>
        <w:pStyle w:val="Heading1"/>
        <w:rPr>
          <w:rFonts w:eastAsia="Times New Roman"/>
        </w:rPr>
      </w:pPr>
      <w:r>
        <w:rPr>
          <w:rFonts w:eastAsia="Times New Roman"/>
        </w:rPr>
        <w:t>4-</w:t>
      </w:r>
      <w:r w:rsidRPr="00945845">
        <w:rPr>
          <w:rFonts w:eastAsia="Times New Roman"/>
          <w:rtl/>
        </w:rPr>
        <w:t xml:space="preserve"> </w:t>
      </w:r>
      <w:r w:rsidRPr="00945845">
        <w:rPr>
          <w:rFonts w:eastAsia="Times New Roman"/>
        </w:rPr>
        <w:t>The rights and duties of the operator</w:t>
      </w:r>
    </w:p>
    <w:p w14:paraId="6DA3EF33" w14:textId="77777777" w:rsidR="00945845" w:rsidRPr="00945845" w:rsidRDefault="00945845" w:rsidP="00945845"/>
    <w:p w14:paraId="70CACA7F" w14:textId="46E73659" w:rsidR="00945845" w:rsidRPr="00945845" w:rsidRDefault="00945845" w:rsidP="00945845">
      <w:pPr>
        <w:pStyle w:val="Heading1"/>
        <w:rPr>
          <w:rFonts w:eastAsia="Times New Roman"/>
        </w:rPr>
      </w:pPr>
      <w:r>
        <w:rPr>
          <w:rFonts w:eastAsia="Times New Roman"/>
        </w:rPr>
        <w:t>3-</w:t>
      </w:r>
      <w:r w:rsidRPr="00945845">
        <w:rPr>
          <w:rFonts w:eastAsia="Times New Roman"/>
        </w:rPr>
        <w:t>Sharing of information</w:t>
      </w:r>
    </w:p>
    <w:p w14:paraId="689EF44F" w14:textId="1E84A1C5" w:rsidR="00945845" w:rsidRDefault="00945845" w:rsidP="00945845">
      <w:pPr>
        <w:pStyle w:val="Heading1"/>
        <w:rPr>
          <w:rFonts w:eastAsia="Times New Roman"/>
        </w:rPr>
      </w:pPr>
      <w:r>
        <w:rPr>
          <w:rFonts w:eastAsia="Times New Roman"/>
        </w:rPr>
        <w:t xml:space="preserve">2- </w:t>
      </w:r>
      <w:r w:rsidRPr="00945845">
        <w:rPr>
          <w:rFonts w:eastAsia="Times New Roman"/>
        </w:rPr>
        <w:t>A summary of the general rules for organic production</w:t>
      </w:r>
    </w:p>
    <w:p w14:paraId="778345B2" w14:textId="77777777" w:rsidR="003B0F12" w:rsidRDefault="003B0F12" w:rsidP="003B0F12">
      <w:pPr>
        <w:pStyle w:val="Heading2"/>
      </w:pPr>
      <w:r>
        <w:t>Organic production rules</w:t>
      </w:r>
    </w:p>
    <w:p w14:paraId="0215AB4A" w14:textId="77777777" w:rsidR="003B0F12" w:rsidRDefault="003B0F12" w:rsidP="003B0F12">
      <w:pPr>
        <w:pStyle w:val="NormalWeb"/>
      </w:pPr>
      <w:r>
        <w:t xml:space="preserve">Producing organically means respecting the rules on organic farming. These rules </w:t>
      </w:r>
      <w:proofErr w:type="gramStart"/>
      <w:r>
        <w:t>are designed</w:t>
      </w:r>
      <w:proofErr w:type="gramEnd"/>
      <w:r>
        <w:t xml:space="preserve"> to promote environment protection, maintain the biodiversity of Europe and build consumer trust in organic products. These regulations govern all areas of organic production and </w:t>
      </w:r>
      <w:proofErr w:type="gramStart"/>
      <w:r>
        <w:t>are based</w:t>
      </w:r>
      <w:proofErr w:type="gramEnd"/>
      <w:r>
        <w:t xml:space="preserve"> on a number of key principles, such as:</w:t>
      </w:r>
    </w:p>
    <w:p w14:paraId="1458DF79" w14:textId="77777777" w:rsidR="003B0F12" w:rsidRDefault="003B0F12" w:rsidP="003B0F12">
      <w:pPr>
        <w:numPr>
          <w:ilvl w:val="0"/>
          <w:numId w:val="6"/>
        </w:numPr>
        <w:spacing w:before="100" w:beforeAutospacing="1" w:after="100" w:afterAutospacing="1" w:line="240" w:lineRule="auto"/>
      </w:pPr>
      <w:r>
        <w:t>prohibition of the use of GMOs;</w:t>
      </w:r>
    </w:p>
    <w:p w14:paraId="3081D12B" w14:textId="77777777" w:rsidR="003B0F12" w:rsidRDefault="003B0F12" w:rsidP="003B0F12">
      <w:pPr>
        <w:numPr>
          <w:ilvl w:val="0"/>
          <w:numId w:val="6"/>
        </w:numPr>
        <w:spacing w:before="100" w:beforeAutospacing="1" w:after="100" w:afterAutospacing="1" w:line="240" w:lineRule="auto"/>
      </w:pPr>
      <w:r>
        <w:t xml:space="preserve">forbidding the use of </w:t>
      </w:r>
      <w:proofErr w:type="spellStart"/>
      <w:r>
        <w:t>ionising</w:t>
      </w:r>
      <w:proofErr w:type="spellEnd"/>
      <w:r>
        <w:t xml:space="preserve"> radiation;</w:t>
      </w:r>
    </w:p>
    <w:p w14:paraId="7F422F8A" w14:textId="77777777" w:rsidR="003B0F12" w:rsidRDefault="003B0F12" w:rsidP="003B0F12">
      <w:pPr>
        <w:numPr>
          <w:ilvl w:val="0"/>
          <w:numId w:val="6"/>
        </w:numPr>
        <w:spacing w:before="100" w:beforeAutospacing="1" w:after="100" w:afterAutospacing="1" w:line="240" w:lineRule="auto"/>
      </w:pPr>
      <w:r>
        <w:t xml:space="preserve">limiting the use of artificial </w:t>
      </w:r>
      <w:proofErr w:type="spellStart"/>
      <w:r>
        <w:t>fertilisers</w:t>
      </w:r>
      <w:proofErr w:type="spellEnd"/>
      <w:r>
        <w:t>, herbicides and pesticides;</w:t>
      </w:r>
    </w:p>
    <w:p w14:paraId="2926C7EE" w14:textId="77777777" w:rsidR="003B0F12" w:rsidRDefault="003B0F12" w:rsidP="003B0F12">
      <w:pPr>
        <w:numPr>
          <w:ilvl w:val="0"/>
          <w:numId w:val="6"/>
        </w:numPr>
        <w:spacing w:before="100" w:beforeAutospacing="1" w:after="100" w:afterAutospacing="1" w:line="240" w:lineRule="auto"/>
      </w:pPr>
      <w:proofErr w:type="gramStart"/>
      <w:r>
        <w:t>prohibiting</w:t>
      </w:r>
      <w:proofErr w:type="gramEnd"/>
      <w:r>
        <w:t xml:space="preserve"> the use of hormones and restrict the use of antibiotics and only when necessary for animal health.</w:t>
      </w:r>
    </w:p>
    <w:p w14:paraId="4FD0C69C" w14:textId="77777777" w:rsidR="003B0F12" w:rsidRDefault="003B0F12" w:rsidP="003B0F12">
      <w:pPr>
        <w:pStyle w:val="NormalWeb"/>
      </w:pPr>
      <w:r>
        <w:t>This means that organic producers need to adopt different approaches to maintaining soil fertility and animal and plant health including:</w:t>
      </w:r>
    </w:p>
    <w:p w14:paraId="17601DA6" w14:textId="77777777" w:rsidR="003B0F12" w:rsidRDefault="003B0F12" w:rsidP="003B0F12">
      <w:pPr>
        <w:numPr>
          <w:ilvl w:val="0"/>
          <w:numId w:val="7"/>
        </w:numPr>
        <w:spacing w:before="100" w:beforeAutospacing="1" w:after="100" w:afterAutospacing="1" w:line="240" w:lineRule="auto"/>
      </w:pPr>
      <w:r>
        <w:t>crop rotation;</w:t>
      </w:r>
    </w:p>
    <w:p w14:paraId="5D5E2E03" w14:textId="77777777" w:rsidR="003B0F12" w:rsidRDefault="003B0F12" w:rsidP="003B0F12">
      <w:pPr>
        <w:numPr>
          <w:ilvl w:val="0"/>
          <w:numId w:val="7"/>
        </w:numPr>
        <w:spacing w:before="100" w:beforeAutospacing="1" w:after="100" w:afterAutospacing="1" w:line="240" w:lineRule="auto"/>
      </w:pPr>
      <w:r>
        <w:t>cultivation of nitrogen fixing plants and other green manure crops to restore the fertility of the soil</w:t>
      </w:r>
    </w:p>
    <w:p w14:paraId="01181896" w14:textId="77777777" w:rsidR="003B0F12" w:rsidRDefault="003B0F12" w:rsidP="003B0F12">
      <w:pPr>
        <w:numPr>
          <w:ilvl w:val="0"/>
          <w:numId w:val="7"/>
        </w:numPr>
        <w:spacing w:before="100" w:beforeAutospacing="1" w:after="100" w:afterAutospacing="1" w:line="240" w:lineRule="auto"/>
      </w:pPr>
      <w:r>
        <w:t xml:space="preserve">prohibition of use of mineral nitrogen </w:t>
      </w:r>
      <w:proofErr w:type="spellStart"/>
      <w:r>
        <w:t>fertilisers</w:t>
      </w:r>
      <w:proofErr w:type="spellEnd"/>
      <w:r>
        <w:t>;</w:t>
      </w:r>
    </w:p>
    <w:p w14:paraId="1473F0C3" w14:textId="77777777" w:rsidR="003B0F12" w:rsidRDefault="003B0F12" w:rsidP="003B0F12">
      <w:pPr>
        <w:numPr>
          <w:ilvl w:val="0"/>
          <w:numId w:val="7"/>
        </w:numPr>
        <w:spacing w:before="100" w:beforeAutospacing="1" w:after="100" w:afterAutospacing="1" w:line="240" w:lineRule="auto"/>
      </w:pPr>
      <w:r>
        <w:t>to reduce the impact of weeds and pests, organic farmers choose resistant varieties and breeds and techniques encouraging natural pest control;</w:t>
      </w:r>
    </w:p>
    <w:p w14:paraId="3EE81A25" w14:textId="77777777" w:rsidR="003B0F12" w:rsidRDefault="003B0F12" w:rsidP="003B0F12">
      <w:pPr>
        <w:numPr>
          <w:ilvl w:val="0"/>
          <w:numId w:val="7"/>
        </w:numPr>
        <w:spacing w:before="100" w:beforeAutospacing="1" w:after="100" w:afterAutospacing="1" w:line="240" w:lineRule="auto"/>
      </w:pPr>
      <w:r>
        <w:lastRenderedPageBreak/>
        <w:t xml:space="preserve">encourage the natural immunological </w:t>
      </w:r>
      <w:proofErr w:type="spellStart"/>
      <w:r>
        <w:t>defence</w:t>
      </w:r>
      <w:proofErr w:type="spellEnd"/>
      <w:r>
        <w:t xml:space="preserve"> of animals;</w:t>
      </w:r>
    </w:p>
    <w:p w14:paraId="693FD059" w14:textId="77777777" w:rsidR="003B0F12" w:rsidRDefault="003B0F12" w:rsidP="003B0F12">
      <w:pPr>
        <w:numPr>
          <w:ilvl w:val="0"/>
          <w:numId w:val="7"/>
        </w:numPr>
        <w:spacing w:before="100" w:beforeAutospacing="1" w:after="100" w:afterAutospacing="1" w:line="240" w:lineRule="auto"/>
      </w:pPr>
      <w:proofErr w:type="gramStart"/>
      <w:r>
        <w:t>in</w:t>
      </w:r>
      <w:proofErr w:type="gramEnd"/>
      <w:r>
        <w:t xml:space="preserve"> order to maintain animal health, organic producers need to prevent overstocking.</w:t>
      </w:r>
    </w:p>
    <w:p w14:paraId="557384C2" w14:textId="77777777" w:rsidR="003B0F12" w:rsidRPr="003B0F12" w:rsidRDefault="003B0F12" w:rsidP="003B0F12"/>
    <w:p w14:paraId="5D1E96A2" w14:textId="24CEF73C" w:rsidR="00945845" w:rsidRPr="00945845" w:rsidRDefault="00945845" w:rsidP="00945845">
      <w:pPr>
        <w:pStyle w:val="Heading1"/>
        <w:rPr>
          <w:rFonts w:eastAsia="Times New Roman"/>
        </w:rPr>
      </w:pPr>
      <w:r w:rsidRPr="00945845">
        <w:rPr>
          <w:rFonts w:eastAsia="Times New Roman"/>
        </w:rPr>
        <w:t>1-</w:t>
      </w:r>
      <w:r>
        <w:rPr>
          <w:rFonts w:eastAsia="Times New Roman"/>
        </w:rPr>
        <w:t xml:space="preserve"> </w:t>
      </w:r>
      <w:r w:rsidRPr="00945845">
        <w:rPr>
          <w:rFonts w:eastAsia="Times New Roman"/>
        </w:rPr>
        <w:t>Summary of general rules in organic farming</w:t>
      </w:r>
    </w:p>
    <w:p w14:paraId="090D9EBD" w14:textId="1C88D671" w:rsidR="00F90C2D" w:rsidRPr="008A617F" w:rsidRDefault="00945845" w:rsidP="00945845">
      <w:pPr>
        <w:pStyle w:val="Heading1"/>
        <w:rPr>
          <w:rFonts w:eastAsia="Times New Roman"/>
        </w:rPr>
      </w:pPr>
      <w:r w:rsidRPr="00945845">
        <w:rPr>
          <w:rFonts w:eastAsia="Times New Roman"/>
        </w:rPr>
        <w:t>Organic production bulletin</w:t>
      </w:r>
    </w:p>
    <w:p w14:paraId="61756A82" w14:textId="77777777" w:rsidR="00F91B24" w:rsidRPr="00FA718C" w:rsidRDefault="00F91B24" w:rsidP="0029039B">
      <w:pPr>
        <w:tabs>
          <w:tab w:val="left" w:pos="8355"/>
        </w:tabs>
        <w:bidi/>
        <w:jc w:val="center"/>
        <w:rPr>
          <w:rFonts w:asciiTheme="minorBidi" w:hAnsiTheme="minorBidi"/>
          <w:b/>
          <w:bCs/>
          <w:rtl/>
        </w:rPr>
      </w:pPr>
    </w:p>
    <w:sectPr w:rsidR="00F91B24" w:rsidRPr="00FA718C" w:rsidSect="001853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2624" w14:textId="77777777" w:rsidR="008028AC" w:rsidRDefault="008028AC" w:rsidP="0029039B">
      <w:pPr>
        <w:spacing w:after="0" w:line="240" w:lineRule="auto"/>
      </w:pPr>
      <w:r>
        <w:separator/>
      </w:r>
    </w:p>
  </w:endnote>
  <w:endnote w:type="continuationSeparator" w:id="0">
    <w:p w14:paraId="7E068EBA" w14:textId="77777777" w:rsidR="008028AC" w:rsidRDefault="008028AC" w:rsidP="0029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4341" w14:textId="77777777" w:rsidR="00CD33AA" w:rsidRDefault="00CD3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900"/>
    </w:tblGrid>
    <w:tr w:rsidR="008A617F" w14:paraId="796B1B65" w14:textId="77777777" w:rsidTr="00B96C1B">
      <w:trPr>
        <w:trHeight w:val="169"/>
        <w:jc w:val="center"/>
      </w:trPr>
      <w:tc>
        <w:tcPr>
          <w:tcW w:w="2425" w:type="dxa"/>
          <w:tcBorders>
            <w:top w:val="single" w:sz="4" w:space="0" w:color="auto"/>
            <w:left w:val="single" w:sz="4" w:space="0" w:color="auto"/>
            <w:bottom w:val="single" w:sz="4" w:space="0" w:color="auto"/>
            <w:right w:val="single" w:sz="4" w:space="0" w:color="auto"/>
          </w:tcBorders>
          <w:vAlign w:val="center"/>
        </w:tcPr>
        <w:p w14:paraId="5E707498" w14:textId="4165AA8F" w:rsidR="008A617F" w:rsidRPr="00395EE8" w:rsidRDefault="008A617F" w:rsidP="00CD33AA">
          <w:pPr>
            <w:pStyle w:val="Footer"/>
            <w:rPr>
              <w:rFonts w:asciiTheme="minorBidi" w:hAnsiTheme="minorBidi"/>
              <w:sz w:val="16"/>
              <w:szCs w:val="16"/>
            </w:rPr>
          </w:pPr>
          <w:r w:rsidRPr="00395EE8">
            <w:rPr>
              <w:rFonts w:asciiTheme="minorBidi" w:hAnsiTheme="minorBidi"/>
              <w:sz w:val="16"/>
              <w:szCs w:val="16"/>
            </w:rPr>
            <w:t>APP-0</w:t>
          </w:r>
          <w:r w:rsidR="00945845">
            <w:rPr>
              <w:rFonts w:asciiTheme="minorBidi" w:hAnsiTheme="minorBidi"/>
              <w:sz w:val="16"/>
              <w:szCs w:val="16"/>
            </w:rPr>
            <w:t>4</w:t>
          </w:r>
          <w:r w:rsidRPr="00395EE8">
            <w:rPr>
              <w:rFonts w:asciiTheme="minorBidi" w:hAnsiTheme="minorBidi"/>
              <w:sz w:val="16"/>
              <w:szCs w:val="16"/>
            </w:rPr>
            <w:t>, V</w:t>
          </w:r>
          <w:r w:rsidR="00CD33AA">
            <w:rPr>
              <w:rFonts w:asciiTheme="minorBidi" w:hAnsiTheme="minorBidi"/>
              <w:sz w:val="16"/>
              <w:szCs w:val="16"/>
            </w:rPr>
            <w:t>1</w:t>
          </w:r>
          <w:r w:rsidRPr="00395EE8">
            <w:rPr>
              <w:rFonts w:asciiTheme="minorBidi" w:hAnsiTheme="minorBidi"/>
              <w:sz w:val="16"/>
              <w:szCs w:val="16"/>
            </w:rPr>
            <w:t>,</w:t>
          </w:r>
          <w:r w:rsidR="00CD33AA">
            <w:rPr>
              <w:rFonts w:asciiTheme="minorBidi" w:hAnsiTheme="minorBidi"/>
              <w:sz w:val="16"/>
              <w:szCs w:val="16"/>
            </w:rPr>
            <w:t>1-11-2020</w:t>
          </w:r>
          <w:r w:rsidRPr="00395EE8">
            <w:rPr>
              <w:rFonts w:asciiTheme="minorBidi" w:hAnsiTheme="minorBidi"/>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tcPr>
        <w:p w14:paraId="1B35C8F5" w14:textId="77777777" w:rsidR="008A617F" w:rsidRPr="00395EE8" w:rsidRDefault="008A617F" w:rsidP="008A617F">
          <w:pPr>
            <w:pStyle w:val="Footer"/>
            <w:rPr>
              <w:rFonts w:asciiTheme="minorBidi" w:hAnsiTheme="minorBidi"/>
              <w:sz w:val="16"/>
              <w:szCs w:val="16"/>
            </w:rPr>
          </w:pPr>
          <w:r w:rsidRPr="00395EE8">
            <w:rPr>
              <w:rFonts w:asciiTheme="minorBidi" w:hAnsiTheme="minorBidi"/>
              <w:sz w:val="16"/>
              <w:szCs w:val="16"/>
            </w:rPr>
            <w:t xml:space="preserve">page </w:t>
          </w:r>
          <w:r w:rsidRPr="00395EE8">
            <w:rPr>
              <w:rFonts w:asciiTheme="minorBidi" w:hAnsiTheme="minorBidi"/>
              <w:sz w:val="16"/>
              <w:szCs w:val="16"/>
            </w:rPr>
            <w:fldChar w:fldCharType="begin"/>
          </w:r>
          <w:r w:rsidRPr="00395EE8">
            <w:rPr>
              <w:rFonts w:asciiTheme="minorBidi" w:hAnsiTheme="minorBidi"/>
              <w:sz w:val="16"/>
              <w:szCs w:val="16"/>
            </w:rPr>
            <w:instrText xml:space="preserve"> PAGE   \* MERGEFORMAT </w:instrText>
          </w:r>
          <w:r w:rsidRPr="00395EE8">
            <w:rPr>
              <w:rFonts w:asciiTheme="minorBidi" w:hAnsiTheme="minorBidi"/>
              <w:sz w:val="16"/>
              <w:szCs w:val="16"/>
            </w:rPr>
            <w:fldChar w:fldCharType="separate"/>
          </w:r>
          <w:r w:rsidR="003B0F12">
            <w:rPr>
              <w:rFonts w:asciiTheme="minorBidi" w:hAnsiTheme="minorBidi"/>
              <w:noProof/>
              <w:sz w:val="16"/>
              <w:szCs w:val="16"/>
            </w:rPr>
            <w:t>4</w:t>
          </w:r>
          <w:r w:rsidRPr="00395EE8">
            <w:rPr>
              <w:rFonts w:asciiTheme="minorBidi" w:hAnsiTheme="minorBidi"/>
              <w:noProof/>
              <w:sz w:val="16"/>
              <w:szCs w:val="16"/>
            </w:rPr>
            <w:fldChar w:fldCharType="end"/>
          </w:r>
        </w:p>
      </w:tc>
    </w:tr>
  </w:tbl>
  <w:p w14:paraId="1D06DAF8" w14:textId="77777777" w:rsidR="008A617F" w:rsidRDefault="008A617F" w:rsidP="008A617F">
    <w:pPr>
      <w:pStyle w:val="Footer"/>
    </w:pPr>
  </w:p>
  <w:p w14:paraId="73637839" w14:textId="77777777" w:rsidR="0029039B" w:rsidRPr="00F90C2D" w:rsidRDefault="0029039B" w:rsidP="00F90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D4D2" w14:textId="77777777" w:rsidR="00CD33AA" w:rsidRDefault="00CD3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DDF3" w14:textId="77777777" w:rsidR="008028AC" w:rsidRDefault="008028AC" w:rsidP="0029039B">
      <w:pPr>
        <w:spacing w:after="0" w:line="240" w:lineRule="auto"/>
      </w:pPr>
      <w:r>
        <w:separator/>
      </w:r>
    </w:p>
  </w:footnote>
  <w:footnote w:type="continuationSeparator" w:id="0">
    <w:p w14:paraId="5CEC5ACA" w14:textId="77777777" w:rsidR="008028AC" w:rsidRDefault="008028AC" w:rsidP="00290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F85D" w14:textId="77777777" w:rsidR="00CD33AA" w:rsidRDefault="00CD3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4" w:type="dxa"/>
      <w:jc w:val="center"/>
      <w:tblLook w:val="04A0" w:firstRow="1" w:lastRow="0" w:firstColumn="1" w:lastColumn="0" w:noHBand="0" w:noVBand="1"/>
    </w:tblPr>
    <w:tblGrid>
      <w:gridCol w:w="1806"/>
      <w:gridCol w:w="8288"/>
    </w:tblGrid>
    <w:tr w:rsidR="008A617F" w14:paraId="1D0A4840" w14:textId="77777777" w:rsidTr="00B96C1B">
      <w:trPr>
        <w:trHeight w:val="700"/>
        <w:jc w:val="center"/>
      </w:trPr>
      <w:tc>
        <w:tcPr>
          <w:tcW w:w="1806" w:type="dxa"/>
          <w:vMerge w:val="restart"/>
        </w:tcPr>
        <w:p w14:paraId="4A2F97E6" w14:textId="77777777" w:rsidR="008A617F" w:rsidRDefault="008A617F" w:rsidP="008A617F">
          <w:pPr>
            <w:rPr>
              <w:rtl/>
            </w:rPr>
          </w:pPr>
          <w:r>
            <w:rPr>
              <w:noProof/>
              <w:color w:val="000000"/>
            </w:rPr>
            <w:drawing>
              <wp:inline distT="0" distB="0" distL="114300" distR="114300" wp14:anchorId="36BBFF29" wp14:editId="653891D9">
                <wp:extent cx="1002323" cy="659423"/>
                <wp:effectExtent l="0" t="0" r="7620" b="7620"/>
                <wp:docPr id="1" name="image1.jpg" descr="H:\COAP logo 300dpi.JPG"/>
                <wp:cNvGraphicFramePr/>
                <a:graphic xmlns:a="http://schemas.openxmlformats.org/drawingml/2006/main">
                  <a:graphicData uri="http://schemas.openxmlformats.org/drawingml/2006/picture">
                    <pic:pic xmlns:pic="http://schemas.openxmlformats.org/drawingml/2006/picture">
                      <pic:nvPicPr>
                        <pic:cNvPr id="0" name="image1.jpg" descr="H:\COAP logo 300dpi.JPG"/>
                        <pic:cNvPicPr preferRelativeResize="0"/>
                      </pic:nvPicPr>
                      <pic:blipFill>
                        <a:blip r:embed="rId1"/>
                        <a:srcRect/>
                        <a:stretch>
                          <a:fillRect/>
                        </a:stretch>
                      </pic:blipFill>
                      <pic:spPr>
                        <a:xfrm>
                          <a:off x="0" y="0"/>
                          <a:ext cx="1157786" cy="761701"/>
                        </a:xfrm>
                        <a:prstGeom prst="rect">
                          <a:avLst/>
                        </a:prstGeom>
                        <a:ln/>
                      </pic:spPr>
                    </pic:pic>
                  </a:graphicData>
                </a:graphic>
              </wp:inline>
            </w:drawing>
          </w:r>
        </w:p>
      </w:tc>
      <w:tc>
        <w:tcPr>
          <w:tcW w:w="8288" w:type="dxa"/>
        </w:tcPr>
        <w:p w14:paraId="1EE33D7B" w14:textId="77777777" w:rsidR="008A617F" w:rsidRPr="00C823E1" w:rsidRDefault="008A617F" w:rsidP="008A617F">
          <w:pPr>
            <w:jc w:val="center"/>
            <w:rPr>
              <w:rFonts w:ascii="Simplified Arabic" w:hAnsi="Simplified Arabic" w:cs="Simplified Arabic"/>
              <w:sz w:val="18"/>
              <w:szCs w:val="18"/>
              <w:shd w:val="clear" w:color="auto" w:fill="FFFFFF"/>
            </w:rPr>
          </w:pPr>
          <w:r w:rsidRPr="00C823E1">
            <w:rPr>
              <w:rFonts w:ascii="Simplified Arabic" w:hAnsi="Simplified Arabic" w:cs="Simplified Arabic"/>
              <w:b/>
              <w:bCs/>
              <w:sz w:val="18"/>
              <w:szCs w:val="18"/>
              <w:shd w:val="clear" w:color="auto" w:fill="FFFFFF"/>
              <w:rtl/>
            </w:rPr>
            <w:t xml:space="preserve">الشركة </w:t>
          </w:r>
          <w:r w:rsidRPr="00C823E1">
            <w:rPr>
              <w:rFonts w:ascii="Simplified Arabic" w:hAnsi="Simplified Arabic" w:cs="Simplified Arabic" w:hint="cs"/>
              <w:b/>
              <w:bCs/>
              <w:sz w:val="18"/>
              <w:szCs w:val="18"/>
              <w:shd w:val="clear" w:color="auto" w:fill="FFFFFF"/>
              <w:rtl/>
            </w:rPr>
            <w:t>الفلسطينية للزراعة</w:t>
          </w:r>
          <w:r w:rsidRPr="00C823E1">
            <w:rPr>
              <w:rFonts w:ascii="Simplified Arabic" w:hAnsi="Simplified Arabic" w:cs="Simplified Arabic"/>
              <w:b/>
              <w:bCs/>
              <w:sz w:val="18"/>
              <w:szCs w:val="18"/>
              <w:shd w:val="clear" w:color="auto" w:fill="FFFFFF"/>
              <w:rtl/>
            </w:rPr>
            <w:t xml:space="preserve"> العضوية</w:t>
          </w:r>
        </w:p>
        <w:p w14:paraId="0EBA52E1" w14:textId="77777777" w:rsidR="008A617F" w:rsidRPr="00C823E1" w:rsidRDefault="008A617F" w:rsidP="008A617F">
          <w:pPr>
            <w:jc w:val="center"/>
            <w:rPr>
              <w:rFonts w:ascii="Simplified Arabic" w:hAnsi="Simplified Arabic" w:cs="Simplified Arabic"/>
              <w:sz w:val="18"/>
              <w:szCs w:val="18"/>
              <w:rtl/>
            </w:rPr>
          </w:pPr>
          <w:r w:rsidRPr="00C823E1">
            <w:rPr>
              <w:rFonts w:ascii="Simplified Arabic" w:hAnsi="Simplified Arabic" w:cs="Simplified Arabic"/>
              <w:sz w:val="18"/>
              <w:szCs w:val="18"/>
              <w:shd w:val="clear" w:color="auto" w:fill="FFFFFF"/>
              <w:rtl/>
            </w:rPr>
            <w:t xml:space="preserve">فلسطين، رام الله، </w:t>
          </w:r>
          <w:proofErr w:type="spellStart"/>
          <w:r w:rsidRPr="00C823E1">
            <w:rPr>
              <w:rFonts w:ascii="Simplified Arabic" w:hAnsi="Simplified Arabic" w:cs="Simplified Arabic"/>
              <w:sz w:val="18"/>
              <w:szCs w:val="18"/>
              <w:shd w:val="clear" w:color="auto" w:fill="FFFFFF"/>
              <w:rtl/>
            </w:rPr>
            <w:t>الماصيون</w:t>
          </w:r>
          <w:proofErr w:type="spellEnd"/>
          <w:r w:rsidRPr="00C823E1">
            <w:rPr>
              <w:rFonts w:ascii="Simplified Arabic" w:hAnsi="Simplified Arabic" w:cs="Simplified Arabic"/>
              <w:sz w:val="18"/>
              <w:szCs w:val="18"/>
              <w:shd w:val="clear" w:color="auto" w:fill="FFFFFF"/>
              <w:rtl/>
            </w:rPr>
            <w:t xml:space="preserve">: عمارة صابات، الطابق الثاني، </w:t>
          </w:r>
          <w:r w:rsidRPr="00C823E1">
            <w:rPr>
              <w:rFonts w:ascii="Simplified Arabic" w:hAnsi="Simplified Arabic" w:cs="Simplified Arabic" w:hint="cs"/>
              <w:sz w:val="18"/>
              <w:szCs w:val="18"/>
              <w:shd w:val="clear" w:color="auto" w:fill="FFFFFF"/>
              <w:rtl/>
            </w:rPr>
            <w:t>تلفاكس</w:t>
          </w:r>
          <w:r w:rsidRPr="00C823E1">
            <w:rPr>
              <w:rFonts w:ascii="Simplified Arabic" w:hAnsi="Simplified Arabic" w:cs="Simplified Arabic"/>
              <w:sz w:val="18"/>
              <w:szCs w:val="18"/>
              <w:shd w:val="clear" w:color="auto" w:fill="FFFFFF"/>
              <w:rtl/>
            </w:rPr>
            <w:t>:</w:t>
          </w:r>
          <w:r w:rsidRPr="00C823E1">
            <w:rPr>
              <w:rFonts w:ascii="Simplified Arabic" w:hAnsi="Simplified Arabic" w:cs="Simplified Arabic"/>
              <w:b/>
              <w:sz w:val="18"/>
              <w:szCs w:val="18"/>
              <w:rtl/>
            </w:rPr>
            <w:t xml:space="preserve"> 2958902</w:t>
          </w:r>
          <w:r w:rsidRPr="00C823E1">
            <w:rPr>
              <w:rFonts w:ascii="Simplified Arabic" w:hAnsi="Simplified Arabic" w:cs="Simplified Arabic"/>
              <w:sz w:val="18"/>
              <w:szCs w:val="18"/>
              <w:rtl/>
            </w:rPr>
            <w:t>-</w:t>
          </w:r>
          <w:r w:rsidRPr="00C823E1">
            <w:rPr>
              <w:rFonts w:ascii="Simplified Arabic" w:hAnsi="Simplified Arabic" w:cs="Simplified Arabic"/>
              <w:b/>
              <w:sz w:val="18"/>
              <w:szCs w:val="18"/>
              <w:rtl/>
            </w:rPr>
            <w:t>00972</w:t>
          </w:r>
          <w:r w:rsidRPr="00C823E1">
            <w:rPr>
              <w:rFonts w:ascii="Simplified Arabic" w:hAnsi="Simplified Arabic" w:cs="Simplified Arabic"/>
              <w:sz w:val="18"/>
              <w:szCs w:val="18"/>
              <w:rtl/>
            </w:rPr>
            <w:t xml:space="preserve">، </w:t>
          </w:r>
          <w:r w:rsidRPr="00C823E1">
            <w:rPr>
              <w:rFonts w:ascii="Simplified Arabic" w:hAnsi="Simplified Arabic" w:cs="Simplified Arabic"/>
              <w:b/>
              <w:sz w:val="18"/>
              <w:szCs w:val="18"/>
              <w:rtl/>
            </w:rPr>
            <w:t>ص.ب:4504</w:t>
          </w:r>
          <w:r w:rsidRPr="00C823E1">
            <w:rPr>
              <w:rFonts w:ascii="Simplified Arabic" w:hAnsi="Simplified Arabic" w:cs="Simplified Arabic"/>
              <w:sz w:val="18"/>
              <w:szCs w:val="18"/>
              <w:rtl/>
            </w:rPr>
            <w:t xml:space="preserve">، </w:t>
          </w:r>
          <w:r w:rsidRPr="00C823E1">
            <w:rPr>
              <w:rFonts w:ascii="Simplified Arabic" w:hAnsi="Simplified Arabic" w:cs="Simplified Arabic"/>
              <w:sz w:val="18"/>
              <w:szCs w:val="18"/>
              <w:shd w:val="clear" w:color="auto" w:fill="FFFFFF"/>
            </w:rPr>
            <w:t>info@coap.org.ps</w:t>
          </w:r>
        </w:p>
      </w:tc>
    </w:tr>
    <w:tr w:rsidR="008A617F" w14:paraId="6F089153" w14:textId="77777777" w:rsidTr="00B96C1B">
      <w:trPr>
        <w:trHeight w:val="550"/>
        <w:jc w:val="center"/>
      </w:trPr>
      <w:tc>
        <w:tcPr>
          <w:tcW w:w="1806" w:type="dxa"/>
          <w:vMerge/>
        </w:tcPr>
        <w:p w14:paraId="2E826FCE" w14:textId="77777777" w:rsidR="008A617F" w:rsidRDefault="008A617F" w:rsidP="008A617F">
          <w:pPr>
            <w:rPr>
              <w:noProof/>
              <w:color w:val="000000"/>
            </w:rPr>
          </w:pPr>
        </w:p>
      </w:tc>
      <w:tc>
        <w:tcPr>
          <w:tcW w:w="8288" w:type="dxa"/>
        </w:tcPr>
        <w:p w14:paraId="5D080049" w14:textId="77777777" w:rsidR="008A617F" w:rsidRPr="00C823E1" w:rsidRDefault="008A617F" w:rsidP="008A617F">
          <w:pPr>
            <w:ind w:right="-159"/>
            <w:jc w:val="center"/>
            <w:rPr>
              <w:rFonts w:asciiTheme="minorBidi" w:hAnsiTheme="minorBidi"/>
              <w:bCs/>
              <w:sz w:val="18"/>
              <w:szCs w:val="18"/>
              <w:shd w:val="clear" w:color="auto" w:fill="FFFFFF"/>
            </w:rPr>
          </w:pPr>
          <w:r w:rsidRPr="00C823E1">
            <w:rPr>
              <w:rFonts w:asciiTheme="minorBidi" w:hAnsiTheme="minorBidi"/>
              <w:b/>
              <w:sz w:val="18"/>
              <w:szCs w:val="18"/>
            </w:rPr>
            <w:t>Company Of Organic Agri. in Palestine</w:t>
          </w:r>
        </w:p>
        <w:p w14:paraId="16FFD12E" w14:textId="77777777" w:rsidR="008A617F" w:rsidRPr="00C823E1" w:rsidRDefault="008A617F" w:rsidP="008A617F">
          <w:pPr>
            <w:ind w:right="-159"/>
            <w:jc w:val="center"/>
            <w:rPr>
              <w:rFonts w:asciiTheme="minorBidi" w:hAnsiTheme="minorBidi"/>
              <w:bCs/>
              <w:sz w:val="14"/>
              <w:szCs w:val="14"/>
            </w:rPr>
          </w:pPr>
          <w:r w:rsidRPr="00C823E1">
            <w:rPr>
              <w:rFonts w:asciiTheme="minorBidi" w:hAnsiTheme="minorBidi"/>
              <w:bCs/>
              <w:sz w:val="14"/>
              <w:szCs w:val="14"/>
              <w:shd w:val="clear" w:color="auto" w:fill="FFFFFF"/>
            </w:rPr>
            <w:t>Palestine, Ramallah, AL-</w:t>
          </w:r>
          <w:proofErr w:type="spellStart"/>
          <w:r w:rsidRPr="00C823E1">
            <w:rPr>
              <w:rFonts w:asciiTheme="minorBidi" w:hAnsiTheme="minorBidi"/>
              <w:bCs/>
              <w:sz w:val="14"/>
              <w:szCs w:val="14"/>
              <w:shd w:val="clear" w:color="auto" w:fill="FFFFFF"/>
            </w:rPr>
            <w:t>Masioun</w:t>
          </w:r>
          <w:proofErr w:type="spellEnd"/>
          <w:r w:rsidRPr="00C823E1">
            <w:rPr>
              <w:rFonts w:asciiTheme="minorBidi" w:hAnsiTheme="minorBidi"/>
              <w:bCs/>
              <w:sz w:val="14"/>
              <w:szCs w:val="14"/>
              <w:shd w:val="clear" w:color="auto" w:fill="FFFFFF"/>
            </w:rPr>
            <w:t xml:space="preserve">, </w:t>
          </w:r>
          <w:proofErr w:type="spellStart"/>
          <w:r w:rsidRPr="00C823E1">
            <w:rPr>
              <w:rFonts w:asciiTheme="minorBidi" w:hAnsiTheme="minorBidi"/>
              <w:bCs/>
              <w:sz w:val="14"/>
              <w:szCs w:val="14"/>
              <w:shd w:val="clear" w:color="auto" w:fill="FFFFFF"/>
            </w:rPr>
            <w:t>Sabat</w:t>
          </w:r>
          <w:proofErr w:type="spellEnd"/>
          <w:r w:rsidRPr="00C823E1">
            <w:rPr>
              <w:rFonts w:asciiTheme="minorBidi" w:hAnsiTheme="minorBidi"/>
              <w:bCs/>
              <w:sz w:val="14"/>
              <w:szCs w:val="14"/>
              <w:shd w:val="clear" w:color="auto" w:fill="FFFFFF"/>
            </w:rPr>
            <w:t xml:space="preserve"> Building,2nd floor, Telefax:+97222958902, info@coap.org.ps</w:t>
          </w:r>
          <w:r w:rsidRPr="00C823E1">
            <w:rPr>
              <w:rFonts w:asciiTheme="minorBidi" w:hAnsiTheme="minorBidi"/>
              <w:bCs/>
              <w:sz w:val="14"/>
              <w:szCs w:val="14"/>
            </w:rPr>
            <w:t xml:space="preserve"> P.O.Box:4504</w:t>
          </w:r>
        </w:p>
      </w:tc>
    </w:tr>
  </w:tbl>
  <w:p w14:paraId="1F12868C" w14:textId="77777777" w:rsidR="00F90C2D" w:rsidRDefault="00F90C2D" w:rsidP="008A6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C7D0" w14:textId="77777777" w:rsidR="00CD33AA" w:rsidRDefault="00CD3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C37"/>
    <w:multiLevelType w:val="hybridMultilevel"/>
    <w:tmpl w:val="2CB6AB4E"/>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E3C12"/>
    <w:multiLevelType w:val="hybridMultilevel"/>
    <w:tmpl w:val="70B2E9D4"/>
    <w:lvl w:ilvl="0" w:tplc="5DFE6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C4ACD"/>
    <w:multiLevelType w:val="hybridMultilevel"/>
    <w:tmpl w:val="A7B4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405A8"/>
    <w:multiLevelType w:val="hybridMultilevel"/>
    <w:tmpl w:val="61101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80E7F"/>
    <w:multiLevelType w:val="hybridMultilevel"/>
    <w:tmpl w:val="8D0E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E00B5"/>
    <w:multiLevelType w:val="multilevel"/>
    <w:tmpl w:val="7EC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734BE"/>
    <w:multiLevelType w:val="multilevel"/>
    <w:tmpl w:val="5B14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9B"/>
    <w:rsid w:val="00096ECB"/>
    <w:rsid w:val="000A7EEE"/>
    <w:rsid w:val="00105153"/>
    <w:rsid w:val="00113B52"/>
    <w:rsid w:val="00143C25"/>
    <w:rsid w:val="00185374"/>
    <w:rsid w:val="00185D15"/>
    <w:rsid w:val="001C0677"/>
    <w:rsid w:val="001C0783"/>
    <w:rsid w:val="001C43F4"/>
    <w:rsid w:val="001C5C71"/>
    <w:rsid w:val="00234052"/>
    <w:rsid w:val="002834FF"/>
    <w:rsid w:val="0029039B"/>
    <w:rsid w:val="002B099F"/>
    <w:rsid w:val="002D61B0"/>
    <w:rsid w:val="00310AD7"/>
    <w:rsid w:val="003B0F12"/>
    <w:rsid w:val="003B26D3"/>
    <w:rsid w:val="003C61CD"/>
    <w:rsid w:val="003C6C58"/>
    <w:rsid w:val="003F169F"/>
    <w:rsid w:val="00442AF5"/>
    <w:rsid w:val="00455E79"/>
    <w:rsid w:val="00475105"/>
    <w:rsid w:val="004811BE"/>
    <w:rsid w:val="004C7952"/>
    <w:rsid w:val="00506F82"/>
    <w:rsid w:val="00541C5A"/>
    <w:rsid w:val="005551F4"/>
    <w:rsid w:val="005720BC"/>
    <w:rsid w:val="005A21B4"/>
    <w:rsid w:val="005C0C90"/>
    <w:rsid w:val="005D5A41"/>
    <w:rsid w:val="00622199"/>
    <w:rsid w:val="00623709"/>
    <w:rsid w:val="006332AB"/>
    <w:rsid w:val="0071089A"/>
    <w:rsid w:val="00781ABB"/>
    <w:rsid w:val="007C3182"/>
    <w:rsid w:val="007C4E26"/>
    <w:rsid w:val="00800818"/>
    <w:rsid w:val="008028AC"/>
    <w:rsid w:val="00803D5F"/>
    <w:rsid w:val="00822596"/>
    <w:rsid w:val="008A617F"/>
    <w:rsid w:val="00945845"/>
    <w:rsid w:val="0097050B"/>
    <w:rsid w:val="009B1FF0"/>
    <w:rsid w:val="009E460A"/>
    <w:rsid w:val="009F6233"/>
    <w:rsid w:val="00A00923"/>
    <w:rsid w:val="00A34163"/>
    <w:rsid w:val="00A90FD2"/>
    <w:rsid w:val="00AE6A38"/>
    <w:rsid w:val="00AF1C80"/>
    <w:rsid w:val="00B1298F"/>
    <w:rsid w:val="00B82C9C"/>
    <w:rsid w:val="00BC6155"/>
    <w:rsid w:val="00C159B2"/>
    <w:rsid w:val="00C16814"/>
    <w:rsid w:val="00C62AC4"/>
    <w:rsid w:val="00CC37E8"/>
    <w:rsid w:val="00CD33AA"/>
    <w:rsid w:val="00CF6DC8"/>
    <w:rsid w:val="00D15849"/>
    <w:rsid w:val="00D24D56"/>
    <w:rsid w:val="00D51967"/>
    <w:rsid w:val="00D54787"/>
    <w:rsid w:val="00D55634"/>
    <w:rsid w:val="00D855EF"/>
    <w:rsid w:val="00DF51E8"/>
    <w:rsid w:val="00E74AE4"/>
    <w:rsid w:val="00E770BC"/>
    <w:rsid w:val="00EB3F54"/>
    <w:rsid w:val="00EE24CE"/>
    <w:rsid w:val="00EE4DE6"/>
    <w:rsid w:val="00F06A7E"/>
    <w:rsid w:val="00F90C2D"/>
    <w:rsid w:val="00F91B24"/>
    <w:rsid w:val="00F96C9A"/>
    <w:rsid w:val="00FA718C"/>
    <w:rsid w:val="00FA7F0E"/>
    <w:rsid w:val="00FC00A0"/>
    <w:rsid w:val="00FE3910"/>
    <w:rsid w:val="00FF4A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25F8"/>
  <w15:docId w15:val="{E2828678-CEB8-4EEE-839E-AA82B08C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182"/>
  </w:style>
  <w:style w:type="paragraph" w:styleId="Heading1">
    <w:name w:val="heading 1"/>
    <w:basedOn w:val="Normal"/>
    <w:next w:val="Normal"/>
    <w:link w:val="Heading1Char"/>
    <w:uiPriority w:val="9"/>
    <w:qFormat/>
    <w:rsid w:val="009458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0F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39B"/>
    <w:rPr>
      <w:rFonts w:ascii="Tahoma" w:hAnsi="Tahoma" w:cs="Tahoma"/>
      <w:sz w:val="16"/>
      <w:szCs w:val="16"/>
    </w:rPr>
  </w:style>
  <w:style w:type="table" w:styleId="TableGrid">
    <w:name w:val="Table Grid"/>
    <w:basedOn w:val="TableNormal"/>
    <w:uiPriority w:val="39"/>
    <w:rsid w:val="002903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039B"/>
    <w:pPr>
      <w:ind w:left="720"/>
      <w:contextualSpacing/>
    </w:pPr>
  </w:style>
  <w:style w:type="paragraph" w:styleId="Header">
    <w:name w:val="header"/>
    <w:basedOn w:val="Normal"/>
    <w:link w:val="HeaderChar"/>
    <w:uiPriority w:val="99"/>
    <w:unhideWhenUsed/>
    <w:rsid w:val="0029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9B"/>
  </w:style>
  <w:style w:type="paragraph" w:styleId="Footer">
    <w:name w:val="footer"/>
    <w:basedOn w:val="Normal"/>
    <w:link w:val="FooterChar"/>
    <w:uiPriority w:val="99"/>
    <w:unhideWhenUsed/>
    <w:rsid w:val="0029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9B"/>
  </w:style>
  <w:style w:type="character" w:styleId="SubtleEmphasis">
    <w:name w:val="Subtle Emphasis"/>
    <w:basedOn w:val="DefaultParagraphFont"/>
    <w:uiPriority w:val="19"/>
    <w:qFormat/>
    <w:rsid w:val="003F169F"/>
    <w:rPr>
      <w:i/>
      <w:iCs/>
      <w:color w:val="808080" w:themeColor="text1" w:themeTint="7F"/>
    </w:rPr>
  </w:style>
  <w:style w:type="character" w:styleId="PageNumber">
    <w:name w:val="page number"/>
    <w:basedOn w:val="DefaultParagraphFont"/>
    <w:rsid w:val="00F90C2D"/>
  </w:style>
  <w:style w:type="character" w:styleId="CommentReference">
    <w:name w:val="annotation reference"/>
    <w:basedOn w:val="DefaultParagraphFont"/>
    <w:uiPriority w:val="99"/>
    <w:semiHidden/>
    <w:unhideWhenUsed/>
    <w:rsid w:val="00FA7F0E"/>
    <w:rPr>
      <w:sz w:val="16"/>
      <w:szCs w:val="16"/>
    </w:rPr>
  </w:style>
  <w:style w:type="paragraph" w:styleId="CommentText">
    <w:name w:val="annotation text"/>
    <w:basedOn w:val="Normal"/>
    <w:link w:val="CommentTextChar"/>
    <w:uiPriority w:val="99"/>
    <w:semiHidden/>
    <w:unhideWhenUsed/>
    <w:rsid w:val="00FA7F0E"/>
    <w:pPr>
      <w:spacing w:line="240" w:lineRule="auto"/>
    </w:pPr>
    <w:rPr>
      <w:sz w:val="20"/>
      <w:szCs w:val="20"/>
    </w:rPr>
  </w:style>
  <w:style w:type="character" w:customStyle="1" w:styleId="CommentTextChar">
    <w:name w:val="Comment Text Char"/>
    <w:basedOn w:val="DefaultParagraphFont"/>
    <w:link w:val="CommentText"/>
    <w:uiPriority w:val="99"/>
    <w:semiHidden/>
    <w:rsid w:val="00FA7F0E"/>
    <w:rPr>
      <w:sz w:val="20"/>
      <w:szCs w:val="20"/>
    </w:rPr>
  </w:style>
  <w:style w:type="paragraph" w:styleId="CommentSubject">
    <w:name w:val="annotation subject"/>
    <w:basedOn w:val="CommentText"/>
    <w:next w:val="CommentText"/>
    <w:link w:val="CommentSubjectChar"/>
    <w:uiPriority w:val="99"/>
    <w:semiHidden/>
    <w:unhideWhenUsed/>
    <w:rsid w:val="00FA7F0E"/>
    <w:rPr>
      <w:b/>
      <w:bCs/>
    </w:rPr>
  </w:style>
  <w:style w:type="character" w:customStyle="1" w:styleId="CommentSubjectChar">
    <w:name w:val="Comment Subject Char"/>
    <w:basedOn w:val="CommentTextChar"/>
    <w:link w:val="CommentSubject"/>
    <w:uiPriority w:val="99"/>
    <w:semiHidden/>
    <w:rsid w:val="00FA7F0E"/>
    <w:rPr>
      <w:b/>
      <w:bCs/>
      <w:sz w:val="20"/>
      <w:szCs w:val="20"/>
    </w:rPr>
  </w:style>
  <w:style w:type="character" w:customStyle="1" w:styleId="Heading1Char">
    <w:name w:val="Heading 1 Char"/>
    <w:basedOn w:val="DefaultParagraphFont"/>
    <w:link w:val="Heading1"/>
    <w:uiPriority w:val="9"/>
    <w:rsid w:val="009458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B0F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B0F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EC7C-2494-4432-BC32-9A344D54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2322</Characters>
  <Application>Microsoft Office Word</Application>
  <DocSecurity>4</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shwaikeh</cp:lastModifiedBy>
  <cp:revision>2</cp:revision>
  <cp:lastPrinted>2019-05-08T09:25:00Z</cp:lastPrinted>
  <dcterms:created xsi:type="dcterms:W3CDTF">2021-05-31T03:05:00Z</dcterms:created>
  <dcterms:modified xsi:type="dcterms:W3CDTF">2021-05-31T03:05:00Z</dcterms:modified>
</cp:coreProperties>
</file>