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463.4999084472656" w:type="dxa"/>
        <w:jc w:val="left"/>
        <w:tblInd w:w="1401.394424438476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3.4999084472656"/>
        <w:tblGridChange w:id="0">
          <w:tblGrid>
            <w:gridCol w:w="463.4999084472656"/>
          </w:tblGrid>
        </w:tblGridChange>
      </w:tblGrid>
      <w:tr>
        <w:trPr>
          <w:cantSplit w:val="0"/>
          <w:trHeight w:val="20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125200271606445"/>
                <w:szCs w:val="18.1252002716064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125200271606445"/>
                <w:szCs w:val="18.1252002716064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746.9395637512207" w:lineRule="auto"/>
        <w:ind w:left="14.009475708007812" w:right="-5.366210937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11759567260742"/>
          <w:szCs w:val="34.117595672607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5.9.2023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الجريدة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الرسمية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218/7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11759567260742"/>
          <w:szCs w:val="34.11759567260742"/>
          <w:u w:val="none"/>
          <w:shd w:fill="auto" w:val="clear"/>
          <w:vertAlign w:val="baseline"/>
          <w:rtl w:val="1"/>
        </w:rPr>
        <w:t xml:space="preserve">أنظمة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78.67919921875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لائحة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تفويض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2023/1686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7.313232421875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بتاريخ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يونيو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2023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7.332763671875" w:line="223.24376106262207" w:lineRule="auto"/>
        <w:ind w:left="1017.6026153564453" w:right="1014.462890625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تعديل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المفوضة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2021/1698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يتعلق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ببعض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المتطلبات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الإجرائية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للاعتراف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بسلطات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وهيئات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المختصة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بتنفيذ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الضوابط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المشغلين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ومجموعات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المشغلين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المعتمدة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المنتجات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العضوية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والمنتجات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العضوية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بلدان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ثالثة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ومتطلبات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معينة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شركاتهم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إشراف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30.115966796875" w:line="240" w:lineRule="auto"/>
        <w:ind w:left="506.6504669189453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الأوروبية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95.28076171875" w:line="240" w:lineRule="auto"/>
        <w:ind w:left="510.21141052246094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وبالنظر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معاهدة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أداء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99.652099609375" w:line="223.2296848297119" w:lineRule="auto"/>
        <w:ind w:left="506.4472198486328" w:right="503.406982421875" w:firstLine="3.764190673828125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بالنظر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2018/848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الصادرة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البرلمان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والمجلس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بتاريخ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مايو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العضوي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ووضع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العلامات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المنتجات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العضوية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وإلغاء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المجلس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834/2007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14619318644206"/>
          <w:szCs w:val="17.1461931864420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وخاصة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46 (7)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3.0621337890625" w:line="240" w:lineRule="auto"/>
        <w:ind w:left="504.33616638183594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بينما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99.671630859375" w:line="223.2405424118042" w:lineRule="auto"/>
        <w:ind w:left="1014.1431427001953" w:right="504.19921875" w:hanging="497.1409606933594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(1)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تفويض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2021/1698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14619318644206"/>
          <w:szCs w:val="17.1461931864420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يكمل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848/2018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بالمتطلبات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الإجرائية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بسلطات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وهيئات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المختصة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بتنفيذ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الضوابط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المشغلين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ومجموعات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المشغلين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المعتمدين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كمنتجات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عضوية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المنتجات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العضوية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بلدان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ثالثة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قواعد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الإشراف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والضوابط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والإجراءات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الأخرى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السلطات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الرقابية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والهيئات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الرقابية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1.92138671875" w:line="223.2429027557373" w:lineRule="auto"/>
        <w:ind w:left="1014.5293426513672" w:right="503.238525390625" w:hanging="497.56622314453125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(2)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يتكون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سلطات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الرقابة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وهيئات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46(1)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2018/848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الامتثال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ملف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1 (2)،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النقطة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المفوضة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2021/1698،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يحتوي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الملف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الفني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أمور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أحدث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تقرير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تقييم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أعدته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هيئة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الاعتماد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المناسبة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السلطة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المختصة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تقرير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تدقيق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الشهود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تدقيق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الشهود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إجراؤه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السنتين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السابقتين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لتقديم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3.052978515625" w:line="223.23975563049316" w:lineRule="auto"/>
        <w:ind w:left="1014.5287322998047" w:right="504.09423828125" w:hanging="497.56561279296875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(3)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بموجب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57 (1)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2018/848،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بسلطات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وهيئات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الممنوحة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بموجب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33 (3)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المجلس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834/2007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14619318644206"/>
          <w:szCs w:val="17.14619318644206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التكافؤ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ستنتهي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ديسمبر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2024.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للنقطة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3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المرفق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المفوضة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2021/1698،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لسلطات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هيئات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سيتم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تقارير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تدقيق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الشهود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بموجب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الامتثال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نتيجة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لعمليات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تدقيق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الشهود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إجراؤها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السنتين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السابقتين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لتقديم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هيئة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الاعتماد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السلطة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المختصة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لغرض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بموجب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834/ 2007.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3.072509765625" w:line="223.24390411376953" w:lineRule="auto"/>
        <w:ind w:left="1018.5665130615234" w:right="503.939208984375" w:hanging="501.5948486328125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(4)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للتدابير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المتخذة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بلدان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ثالثة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جائحة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كوفيد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-19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تأثير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سلبي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هيئات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الاعتماد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والسلطات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المختصة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جدولة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وتنفيذ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عمليات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تدقيق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الشهود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لغرض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بسلطات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وهيئات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بموجب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الامتثال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الحاكم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لضمان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الانتقال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السلس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التكافؤ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الامتثال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وتجنب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مخاطر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الاضطرابات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التجارية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لطلبات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على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63.18023681640625" w:line="240" w:lineRule="auto"/>
        <w:ind w:left="515.5210113525391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240481694539389"/>
          <w:szCs w:val="15.24048169453938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الجريدة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الرسمية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150، 14.6.2018،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. 1.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24.89834785461426" w:lineRule="auto"/>
        <w:ind w:left="754.8383331298828" w:right="508.924560546875" w:hanging="239.30084228515625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240481694539389"/>
          <w:szCs w:val="15.240481694539389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) 2021/1698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المؤرخة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يوليو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2021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المكملة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) 2018/848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للبرلمان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والمجلس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المتطلبات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الإجرائية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للاعتراف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بسلطات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وهيئات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المختصة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بتنفيذ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الضوابط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المشغلون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ومجموعات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المشغلين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المعتمدين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المنتجات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العضوية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والمنتجات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العضوية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بلدان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ثالثة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ومع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قواعد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الإشراف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والضوابط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والإجراءات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الأخرى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سلطات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وهيئات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0"/>
        </w:rPr>
        <w:t xml:space="preserve">OJ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336، 23.9.2021،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7).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0.085601806640625" w:line="224.5484161376953" w:lineRule="auto"/>
        <w:ind w:left="759.7847747802734" w:right="508.7890625" w:hanging="244.24728393554688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240481694539389"/>
          <w:szCs w:val="15.240481694539389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المجلس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0"/>
        </w:rPr>
        <w:t xml:space="preserve">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834/2007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بتاريخ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يونيو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2007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العضوي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ووضع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العلامات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المنتجات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العضوية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وإلغاء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0"/>
        </w:rPr>
        <w:t xml:space="preserve">EEC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2092/91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0"/>
        </w:rPr>
        <w:t xml:space="preserve">OJ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189, 20.7.2007،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. 1).</w:t>
      </w:r>
    </w:p>
    <w:tbl>
      <w:tblPr>
        <w:tblStyle w:val="Table2"/>
        <w:bidiVisual w:val="1"/>
        <w:tblW w:w="463.4999084472656" w:type="dxa"/>
        <w:jc w:val="left"/>
        <w:tblInd w:w="1401.394424438476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3.4999084472656"/>
        <w:tblGridChange w:id="0">
          <w:tblGrid>
            <w:gridCol w:w="463.4999084472656"/>
          </w:tblGrid>
        </w:tblGridChange>
      </w:tblGrid>
      <w:tr>
        <w:trPr>
          <w:cantSplit w:val="0"/>
          <w:trHeight w:val="20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125200271606445"/>
                <w:szCs w:val="18.1252002716064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125200271606445"/>
                <w:szCs w:val="18.1252002716064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218/8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الجريدة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الرسمية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5.9.2023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41.39892578125" w:line="223.2401704788208" w:lineRule="auto"/>
        <w:ind w:left="1018.5303497314453" w:right="504.532470703125" w:hanging="1.53594970703125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المقدم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انتهاء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الفترة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الانتقالية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المنصوص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57 (1)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2018/848،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فترة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صلاحية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عمليات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تدقيق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الشهود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المشار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1 (2)،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النقطة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النقطة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3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المرفق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المفوضة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2021/1698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ينبغي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تمديدها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69.969482421875" w:line="223.1103801727295" w:lineRule="auto"/>
        <w:ind w:left="1017.3804473876953" w:right="503.975830078125" w:hanging="500.44525146484375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(5)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لكي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تتمكن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تنفيذ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أنشطتها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الإشرافية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فعال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المفوضة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2021/1698،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تحتاج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سلطات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الرقابة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وهيئات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المعترف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46 (1)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2018/848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والتقييم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هيئات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الاعتماد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السلطات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المختصة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أدائها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بموجب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الامتثال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التأكد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غضون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عامين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بسلطات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وهيئات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46 (1)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2018/848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توسيع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نطاق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فئة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إضافية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المنتجات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المفوضة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2021/1698،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سلطات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الرقابة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وهيئات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تقدم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تقرير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جديد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لتدقيق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الشهود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تدقيق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الشهود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الجديد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إجراؤه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فئة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فئات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المنتجات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خضعوا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التعرف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علاوة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ينبغي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إجراءات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تقارير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تدقيق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الشهود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الجديدة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70.0732421875" w:line="223.2433319091797" w:lineRule="auto"/>
        <w:ind w:left="1019.4890594482422" w:right="504.456787109375" w:hanging="502.5538635253906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(6)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لغرض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توضيح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بداية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الفترة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عمليتي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تدقيق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الشهود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المشار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3 (4)،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النقطة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المفوضة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2021/1698،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تبدأ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فترة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الأربع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سنوات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إجراء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عمليات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التدقيق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الشاهدة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لتوسيع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نطاق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فئة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إضافية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المنتجات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69.96826171875" w:line="240" w:lineRule="auto"/>
        <w:ind w:left="516.9351959228516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(7)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ينبغي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تعديل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المفوضة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2021/1698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14.4854736328125" w:line="240" w:lineRule="auto"/>
        <w:ind w:left="509.55039978027344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اعتمدت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58799743652344"/>
          <w:szCs w:val="17.05879974365234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2.34130859375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1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57.701416015625" w:line="240" w:lineRule="auto"/>
        <w:ind w:left="509.86976623535156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تعديل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المفوضة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2021/1698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93.2916259765625" w:line="240" w:lineRule="auto"/>
        <w:ind w:left="516.9704437255859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(1)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1 (2)،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النقطة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تستبدل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الصياغة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التمهيدية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93.292236328125" w:line="223.04758071899414" w:lineRule="auto"/>
        <w:ind w:left="987.1506500244141" w:right="504.4970703125" w:firstLine="4.6051025390625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أحدث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تقرير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تقييم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مشار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46 (4)،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الفقرة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الفرعية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2018/848،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أعدته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هيئة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الاعتماد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الاقتضاء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السلطة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المختصة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يحتوي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المشار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الواردة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الملحق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لهذه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تقرير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تدقيق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الشهود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تدقيق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الشهود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إجراؤه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السنتين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السابقتين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لتقديم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الاستثناء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لطلبات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المقدمة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ديسمبر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2024،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تقرير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تدقيق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الشهود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تدقيق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الشهود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إجراؤه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السنوات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الثلاث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لتقديم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ويجب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يقدم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تقرير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التقييم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الضمانات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:’;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06.84814453125" w:line="240" w:lineRule="auto"/>
        <w:ind w:left="516.9704437255859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(2)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تعدل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94.44244384765625" w:line="240" w:lineRule="auto"/>
        <w:ind w:left="833.3147430419922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تدرج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فقرة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93.292236328125" w:line="222.94557094573975" w:lineRule="auto"/>
        <w:ind w:left="1500.94970703125" w:right="503.961181640625" w:hanging="365.2040100097656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'3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غضون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عامين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توسيع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نطاق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فئة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المنتجات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2،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سلطة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هيئة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تقرير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تدقيق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شهود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جديد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تدقيق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الشهود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الجديد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إجراؤه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القسمين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الملحق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لفئات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المنتجات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توسيع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نطاق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.';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08.08074951171875" w:line="240" w:lineRule="auto"/>
        <w:ind w:left="833.3147430419922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الفقرة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(4)،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يستعاض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النقطة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93.29071044921875" w:line="223.2508420944214" w:lineRule="auto"/>
        <w:ind w:left="1135.745620727539" w:right="504.6899414062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"(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تتجاوز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الفترة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عمليتي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تدقيق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الشهود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سنوات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بدء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تدقيق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شاهد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إجراؤه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التوسع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للنطاق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ليشمل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فئة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المنتجات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؛"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06.68502807617188" w:line="240" w:lineRule="auto"/>
        <w:ind w:left="516.9704437255859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(3)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19،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تستبدل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الفقرة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93.29147338867188" w:line="223.2406711578369" w:lineRule="auto"/>
        <w:ind w:left="823.5286712646484" w:right="505.16845703125" w:firstLine="2.685394287109375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'1.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سلطة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هيئة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إخطار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المناسب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موعد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يتجاوز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تقويمي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بحدوث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تغييرات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محتوى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ملفها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الفني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تقارير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تدقيق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الشهود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الجديدة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المشار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3(3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).';</w:t>
      </w:r>
    </w:p>
    <w:tbl>
      <w:tblPr>
        <w:tblStyle w:val="Table3"/>
        <w:bidiVisual w:val="1"/>
        <w:tblW w:w="463.4999084472656" w:type="dxa"/>
        <w:jc w:val="left"/>
        <w:tblInd w:w="1401.394424438476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3.4999084472656"/>
        <w:tblGridChange w:id="0">
          <w:tblGrid>
            <w:gridCol w:w="463.4999084472656"/>
          </w:tblGrid>
        </w:tblGridChange>
      </w:tblGrid>
      <w:tr>
        <w:trPr>
          <w:cantSplit w:val="0"/>
          <w:trHeight w:val="20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125200271606445"/>
                <w:szCs w:val="18.1252002716064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125200271606445"/>
                <w:szCs w:val="18.12520027160644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5.9.2023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الجريدة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الرسمية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218/9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41.39892578125" w:line="240" w:lineRule="auto"/>
        <w:ind w:left="516.9281768798828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(4)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المرفق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استبدال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النقطة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3(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5.78125" w:line="222.65074253082275" w:lineRule="auto"/>
        <w:ind w:left="1146.757583618164" w:right="505.05859375" w:hanging="320.58563232421875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'(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السنوات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الثلاث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الماضية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هيئة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اعتمادها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السلطة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المختصة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لغرض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بموجب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834/2007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فئة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فئات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المنتجات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تطلب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سلطة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الرقابة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هيئة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الرقابة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) 2018/848؛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'.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9.395751953125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2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80.8349609375" w:line="222.05052852630615" w:lineRule="auto"/>
        <w:ind w:left="516.3524627685547" w:right="502.75390625" w:hanging="9.403533935546875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تدخل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حيز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التنفيذ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لنشرها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الجريدة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الرسمية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للاتحاد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43.04931640625" w:line="240" w:lineRule="auto"/>
        <w:ind w:left="1527.4112701416016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ملزمة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مجملها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وقابلة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للتطبيق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مباشر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73.59130859375" w:line="240" w:lineRule="auto"/>
        <w:ind w:left="1530.2898406982422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حرر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بروكسل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، 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يونيو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2023.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99.425048828125" w:line="240" w:lineRule="auto"/>
        <w:ind w:left="0" w:right="2357.794799804687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للجنة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3.848876953125" w:line="240" w:lineRule="auto"/>
        <w:ind w:left="0" w:right="2583.711547851562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الرئيس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2.69775390625" w:line="240" w:lineRule="auto"/>
        <w:ind w:left="0" w:right="2116.947631835937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أورسولا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فون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دير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9099998474121"/>
          <w:szCs w:val="19.19099998474121"/>
          <w:u w:val="none"/>
          <w:shd w:fill="auto" w:val="clear"/>
          <w:vertAlign w:val="baseline"/>
          <w:rtl w:val="1"/>
        </w:rPr>
        <w:t xml:space="preserve">لين</w:t>
      </w:r>
    </w:p>
    <w:sectPr>
      <w:pgSz w:h="16820" w:w="11900" w:orient="portrait"/>
      <w:pgMar w:bottom="992.1435546875" w:top="982.159423828125" w:left="856.3657379150391" w:right="812.366943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