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center" w:leader="none" w:pos="4680"/>
          <w:tab w:val="right" w:leader="none" w:pos="9360"/>
          <w:tab w:val="center" w:leader="none" w:pos="4153"/>
          <w:tab w:val="right" w:leader="none" w:pos="8306"/>
        </w:tabs>
        <w:bidi w:val="1"/>
        <w:spacing w:after="0" w:line="240" w:lineRule="auto"/>
        <w:jc w:val="both"/>
        <w:rPr>
          <w:vertAlign w:val="baseline"/>
        </w:rPr>
      </w:pPr>
      <w:bookmarkStart w:colFirst="0" w:colLast="0" w:name="_heading=h.qlq2pfl25fwb" w:id="0"/>
      <w:bookmarkEnd w:id="0"/>
      <w:r w:rsidDel="00000000" w:rsidR="00000000" w:rsidRPr="00000000">
        <w:rPr>
          <w:vertAlign w:val="baseline"/>
          <w:rtl w:val="1"/>
        </w:rPr>
        <w:t xml:space="preserve">نشرة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العضوي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bidi w:val="1"/>
        <w:ind w:left="720" w:hanging="360"/>
        <w:jc w:val="both"/>
        <w:rPr/>
      </w:pPr>
      <w:bookmarkStart w:colFirst="0" w:colLast="0" w:name="_heading=h.b97t7xi6k4pd" w:id="1"/>
      <w:bookmarkEnd w:id="1"/>
      <w:r w:rsidDel="00000000" w:rsidR="00000000" w:rsidRPr="00000000">
        <w:rPr>
          <w:rtl w:val="1"/>
        </w:rPr>
        <w:t xml:space="preserve">ملخص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  <w:tab w:val="center" w:leader="none" w:pos="4153"/>
          <w:tab w:val="right" w:leader="none" w:pos="8306"/>
        </w:tabs>
        <w:bidi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البيولوجي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مجالات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وراثي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الإشعاعات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المؤينة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الصناعية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ومبيدات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الأعشاب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والمبيدات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/>
      </w:pP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والنبات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</w:t>
        <w:tab/>
      </w:r>
      <w:r w:rsidDel="00000000" w:rsidR="00000000" w:rsidRPr="00000000">
        <w:rPr>
          <w:rtl w:val="1"/>
        </w:rPr>
        <w:t xml:space="preserve">تناوب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المحاصيل</w:t>
      </w:r>
      <w:r w:rsidDel="00000000" w:rsidR="00000000" w:rsidRPr="00000000">
        <w:rPr>
          <w:rtl w:val="1"/>
        </w:rPr>
        <w:t xml:space="preserve">؛</w:t>
      </w:r>
    </w:p>
    <w:p w:rsidR="00000000" w:rsidDel="00000000" w:rsidP="00000000" w:rsidRDefault="00000000" w:rsidRPr="00000000" w14:paraId="00000009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زراعة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للنيتروجين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لاستعادة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</w:p>
    <w:p w:rsidR="00000000" w:rsidDel="00000000" w:rsidP="00000000" w:rsidRDefault="00000000" w:rsidRPr="00000000" w14:paraId="0000000A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النيتروجينية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• </w:t>
      </w:r>
      <w:r w:rsidDel="00000000" w:rsidR="00000000" w:rsidRPr="00000000">
        <w:rPr>
          <w:rtl w:val="1"/>
        </w:rPr>
        <w:t xml:space="preserve">للحد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الحشائش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والآفات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يختار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المزارعون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أصناف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وتقنيات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للآفات</w:t>
      </w:r>
      <w:r w:rsidDel="00000000" w:rsidR="00000000" w:rsidRPr="00000000">
        <w:rPr>
          <w:rtl w:val="1"/>
        </w:rPr>
        <w:t xml:space="preserve"> ؛</w:t>
      </w:r>
    </w:p>
    <w:p w:rsidR="00000000" w:rsidDel="00000000" w:rsidP="00000000" w:rsidRDefault="00000000" w:rsidRPr="00000000" w14:paraId="0000000C">
      <w:pPr>
        <w:pStyle w:val="Heading1"/>
        <w:bidi w:val="1"/>
        <w:jc w:val="both"/>
        <w:rPr/>
      </w:pPr>
      <w:bookmarkStart w:colFirst="0" w:colLast="0" w:name="_heading=h.kqv1onv8wt81" w:id="2"/>
      <w:bookmarkEnd w:id="2"/>
      <w:r w:rsidDel="00000000" w:rsidR="00000000" w:rsidRPr="00000000">
        <w:rPr>
          <w:rtl w:val="1"/>
        </w:rPr>
        <w:t xml:space="preserve">تعليمات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الأوروبي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</w:p>
    <w:p w:rsidR="00000000" w:rsidDel="00000000" w:rsidP="00000000" w:rsidRDefault="00000000" w:rsidRPr="00000000" w14:paraId="0000000D">
      <w:pPr>
        <w:pStyle w:val="Heading2"/>
        <w:bidi w:val="1"/>
        <w:jc w:val="both"/>
        <w:rPr/>
      </w:pPr>
      <w:bookmarkStart w:colFirst="0" w:colLast="0" w:name="_heading=h.lcl2upnxnxrp" w:id="3"/>
      <w:bookmarkEnd w:id="3"/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5 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المبادئ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both"/>
        <w:rPr/>
      </w:pP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</w:p>
    <w:p w:rsidR="00000000" w:rsidDel="00000000" w:rsidP="00000000" w:rsidRDefault="00000000" w:rsidRPr="00000000" w14:paraId="0000000F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ودوراتها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0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1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والهواء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2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المستهلكين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إنتاجها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ورفاهيته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3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والأعلاف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وتجهيزها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وتوزيعها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4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التصميم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البيولوجية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استنادا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الإيكولوجية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</w:p>
    <w:p w:rsidR="00000000" w:rsidDel="00000000" w:rsidP="00000000" w:rsidRDefault="00000000" w:rsidRPr="00000000" w14:paraId="00000015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الميكانيكية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6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الاستغلال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المائية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7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استبعاد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وراثي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وراثي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وراثي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بخلاف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البيطرية</w:t>
      </w:r>
    </w:p>
    <w:p w:rsidR="00000000" w:rsidDel="00000000" w:rsidP="00000000" w:rsidRDefault="00000000" w:rsidRPr="00000000" w14:paraId="00000018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both"/>
        <w:rPr>
          <w:rFonts w:ascii="Cambria" w:cs="Cambria" w:eastAsia="Cambria" w:hAnsi="Cambria"/>
          <w:color w:val="36609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تنطبق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الأنشطة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الزراعية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وتربية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الأحياء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المائية</w:t>
      </w:r>
    </w:p>
    <w:p w:rsidR="00000000" w:rsidDel="00000000" w:rsidP="00000000" w:rsidRDefault="00000000" w:rsidRPr="00000000" w14:paraId="0000001A">
      <w:pPr>
        <w:bidi w:val="1"/>
        <w:jc w:val="both"/>
        <w:rPr/>
      </w:pP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الخصوص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B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صيانة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وخصوبة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واحتفاظ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البيولوجي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للتربة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ومكافحة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وانضغاط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وتآكل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الإيكولوجي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C">
      <w:pPr>
        <w:bidi w:val="1"/>
        <w:jc w:val="both"/>
        <w:rPr/>
      </w:pPr>
      <w:r w:rsidDel="00000000" w:rsidR="00000000" w:rsidRPr="00000000">
        <w:rPr>
          <w:rtl w:val="1"/>
        </w:rPr>
        <w:t xml:space="preserve">صيانة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وخصوبة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البيولوجي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للتربة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ومكافحة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وانضغاط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وتآكل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D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والمدخلات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E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والحيواني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كمدخلات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والحيواني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1F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الوقائية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الأصناف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المتجانسة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للآفات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والأمراض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وتناوب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الميكانيكية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والفيزيائية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للآفات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0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البذور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الوراثي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ومقاومة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1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أصناف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مراعاة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</w:t>
      </w:r>
    </w:p>
    <w:p w:rsidR="00000000" w:rsidDel="00000000" w:rsidP="00000000" w:rsidRDefault="00000000" w:rsidRPr="00000000" w14:paraId="00000022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الأصناف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مراعاة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ومقاومة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3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التكاثرية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التكاثرية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المتجانسة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والأصناف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4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الأصناف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التكاثرية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5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المزارعين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التكاثرية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مزارعهم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الوراثية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المتكيفة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6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مراعاة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الوراثي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وقيمتها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التكاثر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وحيويتها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ومقاومتها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7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بالأرض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8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ممارسات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التمارين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بانتظام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والمراعي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9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بالأعلاف</w:t>
      </w:r>
      <w:r w:rsidDel="00000000" w:rsidR="00000000" w:rsidRPr="00000000">
        <w:rPr>
          <w:rtl w:val="1"/>
        </w:rPr>
        <w:t xml:space="preserve">؛</w:t>
      </w:r>
    </w:p>
    <w:p w:rsidR="00000000" w:rsidDel="00000000" w:rsidP="00000000" w:rsidRDefault="00000000" w:rsidRPr="00000000" w14:paraId="0000002A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jc w:val="both"/>
        <w:rPr/>
      </w:pP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تنطبق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تجهيز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الأغذية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366091"/>
          <w:sz w:val="32"/>
          <w:szCs w:val="32"/>
          <w:rtl w:val="1"/>
        </w:rPr>
        <w:t xml:space="preserve">العضوية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jc w:val="both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المجهزة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الخصوص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عضوية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E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تقييد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والمكونات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التكنولوجية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والمغذيات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والمساعدات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المعالجة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التكنولوجية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لأغراض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F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استبعاد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المعالجة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بالطبيعة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للمنتج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30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معالجة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بعناية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البيولوجية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والميكانيكية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والفيزيائية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31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استبعاد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مصممة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هندسي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355"/>
        </w:tabs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332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25"/>
      <w:gridCol w:w="900"/>
      <w:tblGridChange w:id="0">
        <w:tblGrid>
          <w:gridCol w:w="2425"/>
          <w:gridCol w:w="900"/>
        </w:tblGrid>
      </w:tblGridChange>
    </w:tblGrid>
    <w:tr>
      <w:trPr>
        <w:cantSplit w:val="0"/>
        <w:trHeight w:val="169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APP-04, V1,1-11-2020 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09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806"/>
      <w:gridCol w:w="8288"/>
      <w:tblGridChange w:id="0">
        <w:tblGrid>
          <w:gridCol w:w="1806"/>
          <w:gridCol w:w="8288"/>
        </w:tblGrid>
      </w:tblGridChange>
    </w:tblGrid>
    <w:tr>
      <w:trPr>
        <w:cantSplit w:val="0"/>
        <w:trHeight w:val="700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36">
          <w:pPr>
            <w:rPr/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1157786" cy="761701"/>
                <wp:effectExtent b="0" l="0" r="0" t="0"/>
                <wp:docPr descr="H:\COAP logo 300dpi.JPG" id="2" name="image1.jpg"/>
                <a:graphic>
                  <a:graphicData uri="http://schemas.openxmlformats.org/drawingml/2006/picture">
                    <pic:pic>
                      <pic:nvPicPr>
                        <pic:cNvPr descr="H:\COAP logo 300dpi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786" cy="7617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jc w:val="center"/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</w:rPr>
          </w:pP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highlight w:val="white"/>
              <w:rtl w:val="1"/>
            </w:rPr>
            <w:t xml:space="preserve">الشركة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highlight w:val="white"/>
              <w:rtl w:val="1"/>
            </w:rPr>
            <w:t xml:space="preserve"> 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highlight w:val="white"/>
              <w:rtl w:val="1"/>
            </w:rPr>
            <w:t xml:space="preserve">الفلسطينية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highlight w:val="white"/>
              <w:rtl w:val="1"/>
            </w:rPr>
            <w:t xml:space="preserve"> 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highlight w:val="white"/>
              <w:rtl w:val="1"/>
            </w:rPr>
            <w:t xml:space="preserve">للزراعة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highlight w:val="white"/>
              <w:rtl w:val="1"/>
            </w:rPr>
            <w:t xml:space="preserve"> 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highlight w:val="white"/>
              <w:rtl w:val="1"/>
            </w:rPr>
            <w:t xml:space="preserve">العضوية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jc w:val="center"/>
            <w:rPr>
              <w:rFonts w:ascii="Simplified Arabic" w:cs="Simplified Arabic" w:eastAsia="Simplified Arabic" w:hAnsi="Simplified Arabic"/>
              <w:sz w:val="18"/>
              <w:szCs w:val="18"/>
            </w:rPr>
          </w:pP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فلسطين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، 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رام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 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الله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، 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الماصيون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: 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عمارة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 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صابات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، 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الطابق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 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الثاني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، 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1"/>
            </w:rPr>
            <w:t xml:space="preserve">تلفاكس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0"/>
            </w:rPr>
            <w:t xml:space="preserve">: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rtl w:val="0"/>
            </w:rPr>
            <w:t xml:space="preserve"> 2958902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rtl w:val="0"/>
            </w:rPr>
            <w:t xml:space="preserve">-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rtl w:val="0"/>
            </w:rPr>
            <w:t xml:space="preserve">00972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rtl w:val="0"/>
            </w:rPr>
            <w:t xml:space="preserve">، 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rtl w:val="1"/>
            </w:rPr>
            <w:t xml:space="preserve">ص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rtl w:val="1"/>
            </w:rPr>
            <w:t xml:space="preserve">.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rtl w:val="1"/>
            </w:rPr>
            <w:t xml:space="preserve">ب</w:t>
          </w:r>
          <w:r w:rsidDel="00000000" w:rsidR="00000000" w:rsidRPr="00000000">
            <w:rPr>
              <w:rFonts w:ascii="Simplified Arabic" w:cs="Simplified Arabic" w:eastAsia="Simplified Arabic" w:hAnsi="Simplified Arabic"/>
              <w:b w:val="1"/>
              <w:sz w:val="18"/>
              <w:szCs w:val="18"/>
              <w:rtl w:val="0"/>
            </w:rPr>
            <w:t xml:space="preserve">:4504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rtl w:val="0"/>
            </w:rPr>
            <w:t xml:space="preserve">، </w:t>
          </w:r>
          <w:r w:rsidDel="00000000" w:rsidR="00000000" w:rsidRPr="00000000">
            <w:rPr>
              <w:rFonts w:ascii="Simplified Arabic" w:cs="Simplified Arabic" w:eastAsia="Simplified Arabic" w:hAnsi="Simplified Arabic"/>
              <w:sz w:val="18"/>
              <w:szCs w:val="18"/>
              <w:highlight w:val="white"/>
              <w:rtl w:val="0"/>
            </w:rPr>
            <w:t xml:space="preserve">info@coap.org.ps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5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Simplified Arabic" w:cs="Simplified Arabic" w:eastAsia="Simplified Arabic" w:hAnsi="Simplified Arabic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ind w:right="-159"/>
            <w:jc w:val="center"/>
            <w:rPr>
              <w:sz w:val="18"/>
              <w:szCs w:val="18"/>
              <w:highlight w:val="white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Company Of Organic Agri. in Palestine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ind w:right="-159"/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highlight w:val="white"/>
              <w:rtl w:val="0"/>
            </w:rPr>
            <w:t xml:space="preserve">Palestine, Ramallah, AL-Masioun, Sabat Building,2nd floor, Telefax:+97222958902, info@coap.org.ps</w:t>
          </w:r>
          <w:r w:rsidDel="00000000" w:rsidR="00000000" w:rsidRPr="00000000">
            <w:rPr>
              <w:sz w:val="14"/>
              <w:szCs w:val="14"/>
              <w:rtl w:val="0"/>
            </w:rPr>
            <w:t xml:space="preserve"> P.O.Box:4504</w:t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182"/>
  </w:style>
  <w:style w:type="paragraph" w:styleId="Heading1">
    <w:name w:val="heading 1"/>
    <w:basedOn w:val="Normal"/>
    <w:next w:val="Normal"/>
    <w:link w:val="Heading1Char"/>
    <w:uiPriority w:val="9"/>
    <w:qFormat w:val="1"/>
    <w:rsid w:val="0094584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B0F1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9039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9039B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39"/>
    <w:rsid w:val="0029039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29039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903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039B"/>
  </w:style>
  <w:style w:type="paragraph" w:styleId="Footer">
    <w:name w:val="footer"/>
    <w:basedOn w:val="Normal"/>
    <w:link w:val="FooterChar"/>
    <w:uiPriority w:val="99"/>
    <w:unhideWhenUsed w:val="1"/>
    <w:rsid w:val="002903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039B"/>
  </w:style>
  <w:style w:type="character" w:styleId="SubtleEmphasis">
    <w:name w:val="Subtle Emphasis"/>
    <w:basedOn w:val="DefaultParagraphFont"/>
    <w:uiPriority w:val="19"/>
    <w:qFormat w:val="1"/>
    <w:rsid w:val="003F169F"/>
    <w:rPr>
      <w:i w:val="1"/>
      <w:iCs w:val="1"/>
      <w:color w:val="808080" w:themeColor="text1" w:themeTint="00007F"/>
    </w:rPr>
  </w:style>
  <w:style w:type="character" w:styleId="PageNumber">
    <w:name w:val="page number"/>
    <w:basedOn w:val="DefaultParagraphFont"/>
    <w:rsid w:val="00F90C2D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A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A7F0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A7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A7F0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A7F0E"/>
    <w:rPr>
      <w:b w:val="1"/>
      <w:bCs w:val="1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945845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B0F12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3B0F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MnVXr/WwYKeb5/XGeHWVCKdkA==">CgMxLjAyDmgucWxxMnBmbDI1ZndiMg5oLmI5N3Q3eGk2azRwZDIOaC5rcXYxb252OHd0ODEyDmgubGNsMnVwbnhueHJwOAByITFZMktTN1JxSkVwVzd0S1ZYQjIzVWNOUmNFWlV0UnZQeg==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2021-05-31T03:05:00Z</dcterms:created>
  <dc:creator>User</dc:creator>
</cp:coreProperties>
</file>